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chart2.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558" w:rsidRPr="006037BB" w:rsidRDefault="00312558" w:rsidP="00312558">
      <w:pPr>
        <w:jc w:val="center"/>
        <w:rPr>
          <w:b/>
          <w:sz w:val="40"/>
          <w:szCs w:val="40"/>
        </w:rPr>
      </w:pPr>
      <w:r w:rsidRPr="006037BB">
        <w:rPr>
          <w:b/>
          <w:sz w:val="40"/>
          <w:szCs w:val="40"/>
        </w:rPr>
        <w:t>Racquetball Court Energy Reduction Project</w:t>
      </w:r>
    </w:p>
    <w:p w:rsidR="007349F9" w:rsidRPr="00AC2151" w:rsidRDefault="007349F9" w:rsidP="007349F9">
      <w:pPr>
        <w:jc w:val="center"/>
        <w:rPr>
          <w:b/>
          <w:sz w:val="28"/>
          <w:szCs w:val="28"/>
        </w:rPr>
      </w:pPr>
      <w:proofErr w:type="gramStart"/>
      <w:r w:rsidRPr="00AC2151">
        <w:rPr>
          <w:b/>
          <w:sz w:val="28"/>
          <w:szCs w:val="28"/>
        </w:rPr>
        <w:t>Campus Recreation, Activities and Recreation Center.</w:t>
      </w:r>
      <w:proofErr w:type="gramEnd"/>
    </w:p>
    <w:p w:rsidR="007349F9" w:rsidRPr="00AC2151" w:rsidRDefault="007349F9" w:rsidP="007349F9">
      <w:pPr>
        <w:jc w:val="center"/>
        <w:rPr>
          <w:b/>
          <w:sz w:val="28"/>
          <w:szCs w:val="28"/>
        </w:rPr>
      </w:pPr>
    </w:p>
    <w:p w:rsidR="007349F9" w:rsidRPr="006037BB" w:rsidRDefault="00312558" w:rsidP="00312558">
      <w:pPr>
        <w:ind w:firstLine="720"/>
      </w:pPr>
      <w:r w:rsidRPr="006037BB">
        <w:t>The Racquetball Court Lighting Project was funded by the Student Sustainability Committee through an interest free loan of $75,000.   The scope of this project was to retrofit 192 fluorescent and 96 mercury vapor light fixtures in 12 racquetball and 3 squash courts at the ARC.  Once completed, occupancy sensors were installed in all 15 courts and connected to the main master lighting switch behind the member services desk.  Planning and engineering work for this project began in June of 2009 and construction work began August 20</w:t>
      </w:r>
      <w:r w:rsidRPr="006037BB">
        <w:rPr>
          <w:vertAlign w:val="superscript"/>
        </w:rPr>
        <w:t>th</w:t>
      </w:r>
      <w:r w:rsidRPr="006037BB">
        <w:t>, 2009.</w:t>
      </w:r>
      <w:r w:rsidR="00081038" w:rsidRPr="006037BB">
        <w:t xml:space="preserve">  </w:t>
      </w:r>
    </w:p>
    <w:p w:rsidR="00012089" w:rsidRPr="006037BB" w:rsidRDefault="00012089" w:rsidP="00012089">
      <w:r w:rsidRPr="006037BB">
        <w:tab/>
        <w:t>The construction phase of this project went smoothly.  Ceiling access was a primary concern during the project but most of the old fixtures were easily replaced with minimal labor.  Due to this reduction in expected labor expenses the overall project</w:t>
      </w:r>
      <w:r w:rsidR="00B303C4" w:rsidRPr="006037BB">
        <w:t xml:space="preserve"> cost less than quoted</w:t>
      </w:r>
      <w:r w:rsidR="00065E33">
        <w:t xml:space="preserve"> and finished 2 weeks early.  </w:t>
      </w:r>
      <w:r w:rsidR="00B303C4" w:rsidRPr="006037BB">
        <w:t>The lighting retrofit and occupancy sensor installation was completed on October 1</w:t>
      </w:r>
      <w:r w:rsidR="00B303C4" w:rsidRPr="006037BB">
        <w:rPr>
          <w:vertAlign w:val="superscript"/>
        </w:rPr>
        <w:t>st</w:t>
      </w:r>
      <w:r w:rsidR="00B303C4" w:rsidRPr="006037BB">
        <w:t xml:space="preserve"> and the relay panel for each court was wired on October 2</w:t>
      </w:r>
      <w:r w:rsidR="00B303C4" w:rsidRPr="006037BB">
        <w:rPr>
          <w:vertAlign w:val="superscript"/>
        </w:rPr>
        <w:t>nd</w:t>
      </w:r>
      <w:r w:rsidR="00B303C4" w:rsidRPr="006037BB">
        <w:t>.  Once the relays were tested the entire system was turned on around 3 pm.  Other than a few minor adjustments, the entire system operated as intended with no failures.</w:t>
      </w:r>
    </w:p>
    <w:p w:rsidR="00B303C4" w:rsidRPr="006037BB" w:rsidRDefault="00B303C4" w:rsidP="00012089">
      <w:r w:rsidRPr="006037BB">
        <w:tab/>
        <w:t>The overall cost of the project came to $61,</w:t>
      </w:r>
      <w:r w:rsidR="00911A22" w:rsidRPr="006037BB">
        <w:t>203.69</w:t>
      </w:r>
      <w:r w:rsidR="00065E33">
        <w:t xml:space="preserve">, a savings of $13,796.31 from the original quote.  </w:t>
      </w:r>
      <w:r w:rsidR="00911A22" w:rsidRPr="006037BB">
        <w:t>Campus Recreation has requested that the balance of these funds remain with the division to further fund energy reduction projects within our facilities.  An account of the projects funded with this money will be provided to the SSC upon completion.  The breakdown of the project costs are as follows:</w:t>
      </w:r>
    </w:p>
    <w:p w:rsidR="00911A22" w:rsidRPr="00AC2151" w:rsidRDefault="00911A22" w:rsidP="00012089">
      <w:pPr>
        <w:rPr>
          <w:sz w:val="28"/>
          <w:szCs w:val="28"/>
        </w:rPr>
      </w:pPr>
    </w:p>
    <w:tbl>
      <w:tblPr>
        <w:tblW w:w="8560" w:type="dxa"/>
        <w:tblInd w:w="93" w:type="dxa"/>
        <w:tblLook w:val="04A0"/>
      </w:tblPr>
      <w:tblGrid>
        <w:gridCol w:w="2840"/>
        <w:gridCol w:w="1116"/>
        <w:gridCol w:w="1160"/>
        <w:gridCol w:w="1120"/>
        <w:gridCol w:w="1240"/>
        <w:gridCol w:w="1140"/>
      </w:tblGrid>
      <w:tr w:rsidR="003A7EC7" w:rsidRPr="003A7EC7" w:rsidTr="003A7EC7">
        <w:trPr>
          <w:trHeight w:val="480"/>
        </w:trPr>
        <w:tc>
          <w:tcPr>
            <w:tcW w:w="2840" w:type="dxa"/>
            <w:tcBorders>
              <w:top w:val="single" w:sz="8" w:space="0" w:color="000000"/>
              <w:left w:val="single" w:sz="8" w:space="0" w:color="000000"/>
              <w:bottom w:val="nil"/>
              <w:right w:val="single" w:sz="4" w:space="0" w:color="000000"/>
            </w:tcBorders>
            <w:shd w:val="clear" w:color="auto" w:fill="auto"/>
            <w:noWrap/>
            <w:vAlign w:val="bottom"/>
            <w:hideMark/>
          </w:tcPr>
          <w:p w:rsidR="003A7EC7" w:rsidRPr="003A7EC7" w:rsidRDefault="003A7EC7" w:rsidP="003A7EC7">
            <w:pPr>
              <w:jc w:val="center"/>
              <w:rPr>
                <w:b/>
                <w:bCs/>
                <w:color w:val="000000"/>
                <w:sz w:val="20"/>
                <w:szCs w:val="20"/>
              </w:rPr>
            </w:pPr>
            <w:r w:rsidRPr="003A7EC7">
              <w:rPr>
                <w:b/>
                <w:bCs/>
                <w:color w:val="000000"/>
                <w:sz w:val="20"/>
                <w:szCs w:val="20"/>
              </w:rPr>
              <w:t>Facility and Services</w:t>
            </w:r>
          </w:p>
        </w:tc>
        <w:tc>
          <w:tcPr>
            <w:tcW w:w="1060" w:type="dxa"/>
            <w:tcBorders>
              <w:top w:val="single" w:sz="8" w:space="0" w:color="000000"/>
              <w:left w:val="nil"/>
              <w:bottom w:val="nil"/>
              <w:right w:val="single" w:sz="4" w:space="0" w:color="000000"/>
            </w:tcBorders>
            <w:shd w:val="clear" w:color="auto" w:fill="auto"/>
            <w:vAlign w:val="center"/>
            <w:hideMark/>
          </w:tcPr>
          <w:p w:rsidR="003A7EC7" w:rsidRPr="003A7EC7" w:rsidRDefault="003A7EC7" w:rsidP="003A7EC7">
            <w:pPr>
              <w:jc w:val="center"/>
              <w:rPr>
                <w:b/>
                <w:bCs/>
                <w:color w:val="000000"/>
                <w:sz w:val="20"/>
                <w:szCs w:val="20"/>
              </w:rPr>
            </w:pPr>
            <w:r w:rsidRPr="003A7EC7">
              <w:rPr>
                <w:b/>
                <w:bCs/>
                <w:color w:val="000000"/>
                <w:sz w:val="20"/>
                <w:szCs w:val="20"/>
              </w:rPr>
              <w:t>Labor</w:t>
            </w:r>
          </w:p>
        </w:tc>
        <w:tc>
          <w:tcPr>
            <w:tcW w:w="1160" w:type="dxa"/>
            <w:tcBorders>
              <w:top w:val="single" w:sz="8" w:space="0" w:color="000000"/>
              <w:left w:val="nil"/>
              <w:bottom w:val="nil"/>
              <w:right w:val="single" w:sz="4" w:space="0" w:color="000000"/>
            </w:tcBorders>
            <w:shd w:val="clear" w:color="auto" w:fill="auto"/>
            <w:vAlign w:val="center"/>
            <w:hideMark/>
          </w:tcPr>
          <w:p w:rsidR="003A7EC7" w:rsidRPr="003A7EC7" w:rsidRDefault="003A7EC7" w:rsidP="003A7EC7">
            <w:pPr>
              <w:jc w:val="center"/>
              <w:rPr>
                <w:b/>
                <w:bCs/>
                <w:color w:val="000000"/>
                <w:sz w:val="20"/>
                <w:szCs w:val="20"/>
              </w:rPr>
            </w:pPr>
            <w:r w:rsidRPr="003A7EC7">
              <w:rPr>
                <w:b/>
                <w:bCs/>
                <w:color w:val="000000"/>
                <w:sz w:val="20"/>
                <w:szCs w:val="20"/>
              </w:rPr>
              <w:t>Labor</w:t>
            </w:r>
          </w:p>
        </w:tc>
        <w:tc>
          <w:tcPr>
            <w:tcW w:w="1120"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hideMark/>
          </w:tcPr>
          <w:p w:rsidR="003A7EC7" w:rsidRPr="003A7EC7" w:rsidRDefault="003A7EC7" w:rsidP="003A7EC7">
            <w:pPr>
              <w:jc w:val="center"/>
              <w:rPr>
                <w:b/>
                <w:bCs/>
                <w:color w:val="000000"/>
                <w:sz w:val="20"/>
                <w:szCs w:val="20"/>
              </w:rPr>
            </w:pPr>
            <w:r w:rsidRPr="003A7EC7">
              <w:rPr>
                <w:b/>
                <w:bCs/>
                <w:color w:val="000000"/>
                <w:sz w:val="20"/>
                <w:szCs w:val="20"/>
              </w:rPr>
              <w:t>Stock</w:t>
            </w:r>
          </w:p>
        </w:tc>
        <w:tc>
          <w:tcPr>
            <w:tcW w:w="1240" w:type="dxa"/>
            <w:tcBorders>
              <w:top w:val="single" w:sz="8" w:space="0" w:color="000000"/>
              <w:left w:val="nil"/>
              <w:bottom w:val="nil"/>
              <w:right w:val="single" w:sz="4" w:space="0" w:color="000000"/>
            </w:tcBorders>
            <w:shd w:val="clear" w:color="auto" w:fill="auto"/>
            <w:vAlign w:val="center"/>
            <w:hideMark/>
          </w:tcPr>
          <w:p w:rsidR="003A7EC7" w:rsidRPr="003A7EC7" w:rsidRDefault="003A7EC7" w:rsidP="003A7EC7">
            <w:pPr>
              <w:jc w:val="center"/>
              <w:rPr>
                <w:b/>
                <w:bCs/>
                <w:color w:val="000000"/>
                <w:sz w:val="20"/>
                <w:szCs w:val="20"/>
              </w:rPr>
            </w:pPr>
            <w:r w:rsidRPr="003A7EC7">
              <w:rPr>
                <w:b/>
                <w:bCs/>
                <w:color w:val="000000"/>
                <w:sz w:val="20"/>
                <w:szCs w:val="20"/>
              </w:rPr>
              <w:t>Purchased</w:t>
            </w:r>
          </w:p>
        </w:tc>
        <w:tc>
          <w:tcPr>
            <w:tcW w:w="1140" w:type="dxa"/>
            <w:vMerge w:val="restart"/>
            <w:tcBorders>
              <w:top w:val="single" w:sz="8" w:space="0" w:color="000000"/>
              <w:left w:val="single" w:sz="4" w:space="0" w:color="000000"/>
              <w:bottom w:val="single" w:sz="8" w:space="0" w:color="000000"/>
              <w:right w:val="single" w:sz="8" w:space="0" w:color="000000"/>
            </w:tcBorders>
            <w:shd w:val="clear" w:color="auto" w:fill="auto"/>
            <w:vAlign w:val="center"/>
            <w:hideMark/>
          </w:tcPr>
          <w:p w:rsidR="003A7EC7" w:rsidRPr="003A7EC7" w:rsidRDefault="003A7EC7" w:rsidP="003A7EC7">
            <w:pPr>
              <w:jc w:val="center"/>
              <w:rPr>
                <w:b/>
                <w:bCs/>
                <w:color w:val="000000"/>
                <w:sz w:val="20"/>
                <w:szCs w:val="20"/>
              </w:rPr>
            </w:pPr>
            <w:r w:rsidRPr="003A7EC7">
              <w:rPr>
                <w:b/>
                <w:bCs/>
                <w:color w:val="000000"/>
                <w:sz w:val="20"/>
                <w:szCs w:val="20"/>
              </w:rPr>
              <w:t>Total</w:t>
            </w:r>
          </w:p>
        </w:tc>
      </w:tr>
      <w:tr w:rsidR="003A7EC7" w:rsidRPr="003A7EC7" w:rsidTr="003A7EC7">
        <w:trPr>
          <w:trHeight w:val="480"/>
        </w:trPr>
        <w:tc>
          <w:tcPr>
            <w:tcW w:w="2840" w:type="dxa"/>
            <w:tcBorders>
              <w:top w:val="nil"/>
              <w:left w:val="single" w:sz="8" w:space="0" w:color="000000"/>
              <w:bottom w:val="single" w:sz="8" w:space="0" w:color="000000"/>
              <w:right w:val="single" w:sz="4" w:space="0" w:color="000000"/>
            </w:tcBorders>
            <w:shd w:val="clear" w:color="auto" w:fill="auto"/>
            <w:noWrap/>
            <w:vAlign w:val="bottom"/>
            <w:hideMark/>
          </w:tcPr>
          <w:p w:rsidR="003A7EC7" w:rsidRPr="003A7EC7" w:rsidRDefault="003A7EC7" w:rsidP="003A7EC7">
            <w:pPr>
              <w:jc w:val="center"/>
              <w:rPr>
                <w:b/>
                <w:bCs/>
                <w:color w:val="000000"/>
                <w:sz w:val="20"/>
                <w:szCs w:val="20"/>
              </w:rPr>
            </w:pPr>
            <w:r w:rsidRPr="003A7EC7">
              <w:rPr>
                <w:b/>
                <w:bCs/>
                <w:color w:val="000000"/>
                <w:sz w:val="20"/>
                <w:szCs w:val="20"/>
              </w:rPr>
              <w:t>Organization</w:t>
            </w:r>
          </w:p>
        </w:tc>
        <w:tc>
          <w:tcPr>
            <w:tcW w:w="1060" w:type="dxa"/>
            <w:tcBorders>
              <w:top w:val="nil"/>
              <w:left w:val="nil"/>
              <w:bottom w:val="single" w:sz="8" w:space="0" w:color="000000"/>
              <w:right w:val="single" w:sz="4" w:space="0" w:color="000000"/>
            </w:tcBorders>
            <w:shd w:val="clear" w:color="auto" w:fill="auto"/>
            <w:vAlign w:val="center"/>
            <w:hideMark/>
          </w:tcPr>
          <w:p w:rsidR="003A7EC7" w:rsidRPr="003A7EC7" w:rsidRDefault="003A7EC7" w:rsidP="003A7EC7">
            <w:pPr>
              <w:jc w:val="center"/>
              <w:rPr>
                <w:b/>
                <w:bCs/>
                <w:color w:val="000000"/>
                <w:sz w:val="20"/>
                <w:szCs w:val="20"/>
              </w:rPr>
            </w:pPr>
            <w:r w:rsidRPr="003A7EC7">
              <w:rPr>
                <w:b/>
                <w:bCs/>
                <w:color w:val="000000"/>
                <w:sz w:val="20"/>
                <w:szCs w:val="20"/>
              </w:rPr>
              <w:t>Cost</w:t>
            </w:r>
          </w:p>
        </w:tc>
        <w:tc>
          <w:tcPr>
            <w:tcW w:w="1160" w:type="dxa"/>
            <w:tcBorders>
              <w:top w:val="nil"/>
              <w:left w:val="nil"/>
              <w:bottom w:val="single" w:sz="8" w:space="0" w:color="000000"/>
              <w:right w:val="single" w:sz="4" w:space="0" w:color="000000"/>
            </w:tcBorders>
            <w:shd w:val="clear" w:color="auto" w:fill="auto"/>
            <w:vAlign w:val="center"/>
            <w:hideMark/>
          </w:tcPr>
          <w:p w:rsidR="003A7EC7" w:rsidRPr="003A7EC7" w:rsidRDefault="003A7EC7" w:rsidP="003A7EC7">
            <w:pPr>
              <w:jc w:val="center"/>
              <w:rPr>
                <w:b/>
                <w:bCs/>
                <w:color w:val="000000"/>
                <w:sz w:val="20"/>
                <w:szCs w:val="20"/>
              </w:rPr>
            </w:pPr>
            <w:r w:rsidRPr="003A7EC7">
              <w:rPr>
                <w:b/>
                <w:bCs/>
                <w:color w:val="000000"/>
                <w:sz w:val="20"/>
                <w:szCs w:val="20"/>
              </w:rPr>
              <w:t>Overhead</w:t>
            </w:r>
          </w:p>
        </w:tc>
        <w:tc>
          <w:tcPr>
            <w:tcW w:w="1120" w:type="dxa"/>
            <w:vMerge/>
            <w:tcBorders>
              <w:top w:val="single" w:sz="8" w:space="0" w:color="000000"/>
              <w:left w:val="single" w:sz="4" w:space="0" w:color="000000"/>
              <w:bottom w:val="single" w:sz="8" w:space="0" w:color="000000"/>
              <w:right w:val="single" w:sz="4" w:space="0" w:color="000000"/>
            </w:tcBorders>
            <w:vAlign w:val="center"/>
            <w:hideMark/>
          </w:tcPr>
          <w:p w:rsidR="003A7EC7" w:rsidRPr="003A7EC7" w:rsidRDefault="003A7EC7" w:rsidP="003A7EC7">
            <w:pPr>
              <w:rPr>
                <w:b/>
                <w:bCs/>
                <w:color w:val="000000"/>
                <w:sz w:val="20"/>
                <w:szCs w:val="20"/>
              </w:rPr>
            </w:pPr>
          </w:p>
        </w:tc>
        <w:tc>
          <w:tcPr>
            <w:tcW w:w="1240" w:type="dxa"/>
            <w:tcBorders>
              <w:top w:val="nil"/>
              <w:left w:val="nil"/>
              <w:bottom w:val="single" w:sz="8" w:space="0" w:color="000000"/>
              <w:right w:val="single" w:sz="4" w:space="0" w:color="000000"/>
            </w:tcBorders>
            <w:shd w:val="clear" w:color="auto" w:fill="auto"/>
            <w:vAlign w:val="center"/>
            <w:hideMark/>
          </w:tcPr>
          <w:p w:rsidR="003A7EC7" w:rsidRPr="003A7EC7" w:rsidRDefault="003A7EC7" w:rsidP="003A7EC7">
            <w:pPr>
              <w:jc w:val="center"/>
              <w:rPr>
                <w:b/>
                <w:bCs/>
                <w:color w:val="000000"/>
                <w:sz w:val="20"/>
                <w:szCs w:val="20"/>
              </w:rPr>
            </w:pPr>
            <w:r w:rsidRPr="003A7EC7">
              <w:rPr>
                <w:b/>
                <w:bCs/>
                <w:color w:val="000000"/>
                <w:sz w:val="20"/>
                <w:szCs w:val="20"/>
              </w:rPr>
              <w:t>Material</w:t>
            </w:r>
          </w:p>
        </w:tc>
        <w:tc>
          <w:tcPr>
            <w:tcW w:w="1140" w:type="dxa"/>
            <w:vMerge/>
            <w:tcBorders>
              <w:top w:val="single" w:sz="8" w:space="0" w:color="000000"/>
              <w:left w:val="single" w:sz="4" w:space="0" w:color="000000"/>
              <w:bottom w:val="single" w:sz="8" w:space="0" w:color="000000"/>
              <w:right w:val="single" w:sz="8" w:space="0" w:color="000000"/>
            </w:tcBorders>
            <w:vAlign w:val="center"/>
            <w:hideMark/>
          </w:tcPr>
          <w:p w:rsidR="003A7EC7" w:rsidRPr="003A7EC7" w:rsidRDefault="003A7EC7" w:rsidP="003A7EC7">
            <w:pPr>
              <w:rPr>
                <w:b/>
                <w:bCs/>
                <w:color w:val="000000"/>
                <w:sz w:val="20"/>
                <w:szCs w:val="20"/>
              </w:rPr>
            </w:pPr>
          </w:p>
        </w:tc>
      </w:tr>
      <w:tr w:rsidR="003A7EC7" w:rsidRPr="003A7EC7" w:rsidTr="003A7EC7">
        <w:trPr>
          <w:trHeight w:val="615"/>
        </w:trPr>
        <w:tc>
          <w:tcPr>
            <w:tcW w:w="2840" w:type="dxa"/>
            <w:tcBorders>
              <w:top w:val="nil"/>
              <w:left w:val="single" w:sz="8" w:space="0" w:color="000000"/>
              <w:bottom w:val="single" w:sz="4" w:space="0" w:color="000000"/>
              <w:right w:val="single" w:sz="8" w:space="0" w:color="000000"/>
            </w:tcBorders>
            <w:shd w:val="clear" w:color="auto" w:fill="auto"/>
            <w:vAlign w:val="bottom"/>
            <w:hideMark/>
          </w:tcPr>
          <w:p w:rsidR="003A7EC7" w:rsidRPr="003A7EC7" w:rsidRDefault="003A7EC7" w:rsidP="003A7EC7">
            <w:pPr>
              <w:rPr>
                <w:color w:val="000000"/>
                <w:sz w:val="20"/>
                <w:szCs w:val="20"/>
              </w:rPr>
            </w:pPr>
            <w:r w:rsidRPr="003A7EC7">
              <w:rPr>
                <w:color w:val="000000"/>
                <w:sz w:val="20"/>
                <w:szCs w:val="20"/>
              </w:rPr>
              <w:t xml:space="preserve">CONSTRUCTION ORGANIZATION SUPPORT </w:t>
            </w:r>
          </w:p>
        </w:tc>
        <w:tc>
          <w:tcPr>
            <w:tcW w:w="1060" w:type="dxa"/>
            <w:tcBorders>
              <w:top w:val="nil"/>
              <w:left w:val="nil"/>
              <w:bottom w:val="single" w:sz="4" w:space="0" w:color="000000"/>
              <w:right w:val="single" w:sz="4" w:space="0" w:color="000000"/>
            </w:tcBorders>
            <w:shd w:val="clear" w:color="auto" w:fill="auto"/>
            <w:noWrap/>
            <w:vAlign w:val="bottom"/>
            <w:hideMark/>
          </w:tcPr>
          <w:p w:rsidR="003A7EC7" w:rsidRPr="003A7EC7" w:rsidRDefault="003A7EC7" w:rsidP="003A7EC7">
            <w:pPr>
              <w:jc w:val="right"/>
              <w:rPr>
                <w:color w:val="000000"/>
                <w:sz w:val="20"/>
                <w:szCs w:val="20"/>
              </w:rPr>
            </w:pPr>
            <w:r w:rsidRPr="003A7EC7">
              <w:rPr>
                <w:color w:val="000000"/>
                <w:sz w:val="20"/>
                <w:szCs w:val="20"/>
              </w:rPr>
              <w:t>$71.61</w:t>
            </w:r>
          </w:p>
        </w:tc>
        <w:tc>
          <w:tcPr>
            <w:tcW w:w="1160" w:type="dxa"/>
            <w:tcBorders>
              <w:top w:val="nil"/>
              <w:left w:val="nil"/>
              <w:bottom w:val="single" w:sz="4" w:space="0" w:color="000000"/>
              <w:right w:val="single" w:sz="4" w:space="0" w:color="000000"/>
            </w:tcBorders>
            <w:shd w:val="clear" w:color="auto" w:fill="auto"/>
            <w:noWrap/>
            <w:vAlign w:val="bottom"/>
            <w:hideMark/>
          </w:tcPr>
          <w:p w:rsidR="003A7EC7" w:rsidRPr="003A7EC7" w:rsidRDefault="003A7EC7" w:rsidP="003A7EC7">
            <w:pPr>
              <w:jc w:val="right"/>
              <w:rPr>
                <w:color w:val="000000"/>
                <w:sz w:val="20"/>
                <w:szCs w:val="20"/>
              </w:rPr>
            </w:pPr>
            <w:r w:rsidRPr="003A7EC7">
              <w:rPr>
                <w:color w:val="000000"/>
                <w:sz w:val="20"/>
                <w:szCs w:val="20"/>
              </w:rPr>
              <w:t>$28.65</w:t>
            </w:r>
          </w:p>
        </w:tc>
        <w:tc>
          <w:tcPr>
            <w:tcW w:w="1120" w:type="dxa"/>
            <w:tcBorders>
              <w:top w:val="nil"/>
              <w:left w:val="nil"/>
              <w:bottom w:val="single" w:sz="4" w:space="0" w:color="000000"/>
              <w:right w:val="single" w:sz="4" w:space="0" w:color="000000"/>
            </w:tcBorders>
            <w:shd w:val="clear" w:color="auto" w:fill="auto"/>
            <w:noWrap/>
            <w:vAlign w:val="bottom"/>
            <w:hideMark/>
          </w:tcPr>
          <w:p w:rsidR="003A7EC7" w:rsidRPr="003A7EC7" w:rsidRDefault="003A7EC7" w:rsidP="003A7EC7">
            <w:pPr>
              <w:jc w:val="right"/>
              <w:rPr>
                <w:color w:val="000000"/>
                <w:sz w:val="20"/>
                <w:szCs w:val="20"/>
              </w:rPr>
            </w:pPr>
            <w:r w:rsidRPr="003A7EC7">
              <w:rPr>
                <w:color w:val="000000"/>
                <w:sz w:val="20"/>
                <w:szCs w:val="20"/>
              </w:rPr>
              <w:t>$0.00</w:t>
            </w:r>
          </w:p>
        </w:tc>
        <w:tc>
          <w:tcPr>
            <w:tcW w:w="1240" w:type="dxa"/>
            <w:tcBorders>
              <w:top w:val="nil"/>
              <w:left w:val="nil"/>
              <w:bottom w:val="single" w:sz="4" w:space="0" w:color="000000"/>
              <w:right w:val="single" w:sz="4" w:space="0" w:color="000000"/>
            </w:tcBorders>
            <w:shd w:val="clear" w:color="auto" w:fill="auto"/>
            <w:noWrap/>
            <w:vAlign w:val="bottom"/>
            <w:hideMark/>
          </w:tcPr>
          <w:p w:rsidR="003A7EC7" w:rsidRPr="003A7EC7" w:rsidRDefault="003A7EC7" w:rsidP="003A7EC7">
            <w:pPr>
              <w:jc w:val="right"/>
              <w:rPr>
                <w:color w:val="000000"/>
                <w:sz w:val="20"/>
                <w:szCs w:val="20"/>
              </w:rPr>
            </w:pPr>
            <w:r w:rsidRPr="003A7EC7">
              <w:rPr>
                <w:color w:val="000000"/>
                <w:sz w:val="20"/>
                <w:szCs w:val="20"/>
              </w:rPr>
              <w:t>$0.00</w:t>
            </w:r>
          </w:p>
        </w:tc>
        <w:tc>
          <w:tcPr>
            <w:tcW w:w="1140" w:type="dxa"/>
            <w:tcBorders>
              <w:top w:val="nil"/>
              <w:left w:val="nil"/>
              <w:bottom w:val="single" w:sz="4" w:space="0" w:color="000000"/>
              <w:right w:val="single" w:sz="8" w:space="0" w:color="000000"/>
            </w:tcBorders>
            <w:shd w:val="clear" w:color="auto" w:fill="auto"/>
            <w:noWrap/>
            <w:vAlign w:val="bottom"/>
            <w:hideMark/>
          </w:tcPr>
          <w:p w:rsidR="003A7EC7" w:rsidRPr="003A7EC7" w:rsidRDefault="003A7EC7" w:rsidP="003A7EC7">
            <w:pPr>
              <w:jc w:val="right"/>
              <w:rPr>
                <w:color w:val="000000"/>
                <w:sz w:val="20"/>
                <w:szCs w:val="20"/>
              </w:rPr>
            </w:pPr>
            <w:r w:rsidRPr="003A7EC7">
              <w:rPr>
                <w:color w:val="000000"/>
                <w:sz w:val="20"/>
                <w:szCs w:val="20"/>
              </w:rPr>
              <w:t>$100.26</w:t>
            </w:r>
          </w:p>
        </w:tc>
      </w:tr>
      <w:tr w:rsidR="003A7EC7" w:rsidRPr="003A7EC7" w:rsidTr="003A7EC7">
        <w:trPr>
          <w:trHeight w:val="480"/>
        </w:trPr>
        <w:tc>
          <w:tcPr>
            <w:tcW w:w="2840" w:type="dxa"/>
            <w:tcBorders>
              <w:top w:val="nil"/>
              <w:left w:val="single" w:sz="8" w:space="0" w:color="000000"/>
              <w:bottom w:val="single" w:sz="4" w:space="0" w:color="000000"/>
              <w:right w:val="single" w:sz="8" w:space="0" w:color="000000"/>
            </w:tcBorders>
            <w:shd w:val="clear" w:color="auto" w:fill="auto"/>
            <w:vAlign w:val="bottom"/>
            <w:hideMark/>
          </w:tcPr>
          <w:p w:rsidR="003A7EC7" w:rsidRPr="003A7EC7" w:rsidRDefault="003A7EC7" w:rsidP="003A7EC7">
            <w:pPr>
              <w:rPr>
                <w:color w:val="000000"/>
                <w:sz w:val="20"/>
                <w:szCs w:val="20"/>
              </w:rPr>
            </w:pPr>
            <w:r w:rsidRPr="003A7EC7">
              <w:rPr>
                <w:color w:val="000000"/>
                <w:sz w:val="20"/>
                <w:szCs w:val="20"/>
              </w:rPr>
              <w:t xml:space="preserve">ENGINEERING SERVICES </w:t>
            </w:r>
          </w:p>
        </w:tc>
        <w:tc>
          <w:tcPr>
            <w:tcW w:w="1060" w:type="dxa"/>
            <w:tcBorders>
              <w:top w:val="nil"/>
              <w:left w:val="nil"/>
              <w:bottom w:val="single" w:sz="4" w:space="0" w:color="000000"/>
              <w:right w:val="single" w:sz="4" w:space="0" w:color="000000"/>
            </w:tcBorders>
            <w:shd w:val="clear" w:color="auto" w:fill="auto"/>
            <w:noWrap/>
            <w:vAlign w:val="bottom"/>
            <w:hideMark/>
          </w:tcPr>
          <w:p w:rsidR="003A7EC7" w:rsidRPr="003A7EC7" w:rsidRDefault="003A7EC7" w:rsidP="003A7EC7">
            <w:pPr>
              <w:jc w:val="right"/>
              <w:rPr>
                <w:color w:val="000000"/>
                <w:sz w:val="20"/>
                <w:szCs w:val="20"/>
              </w:rPr>
            </w:pPr>
            <w:r w:rsidRPr="003A7EC7">
              <w:rPr>
                <w:color w:val="000000"/>
                <w:sz w:val="20"/>
                <w:szCs w:val="20"/>
              </w:rPr>
              <w:t>$1,382.33</w:t>
            </w:r>
          </w:p>
        </w:tc>
        <w:tc>
          <w:tcPr>
            <w:tcW w:w="1160" w:type="dxa"/>
            <w:tcBorders>
              <w:top w:val="nil"/>
              <w:left w:val="nil"/>
              <w:bottom w:val="single" w:sz="4" w:space="0" w:color="000000"/>
              <w:right w:val="single" w:sz="4" w:space="0" w:color="000000"/>
            </w:tcBorders>
            <w:shd w:val="clear" w:color="auto" w:fill="auto"/>
            <w:noWrap/>
            <w:vAlign w:val="bottom"/>
            <w:hideMark/>
          </w:tcPr>
          <w:p w:rsidR="003A7EC7" w:rsidRPr="003A7EC7" w:rsidRDefault="003A7EC7" w:rsidP="003A7EC7">
            <w:pPr>
              <w:jc w:val="right"/>
              <w:rPr>
                <w:color w:val="000000"/>
                <w:sz w:val="20"/>
                <w:szCs w:val="20"/>
              </w:rPr>
            </w:pPr>
            <w:r w:rsidRPr="003A7EC7">
              <w:rPr>
                <w:color w:val="000000"/>
                <w:sz w:val="20"/>
                <w:szCs w:val="20"/>
              </w:rPr>
              <w:t>$552.95</w:t>
            </w:r>
          </w:p>
        </w:tc>
        <w:tc>
          <w:tcPr>
            <w:tcW w:w="1120" w:type="dxa"/>
            <w:tcBorders>
              <w:top w:val="nil"/>
              <w:left w:val="nil"/>
              <w:bottom w:val="single" w:sz="4" w:space="0" w:color="000000"/>
              <w:right w:val="single" w:sz="4" w:space="0" w:color="000000"/>
            </w:tcBorders>
            <w:shd w:val="clear" w:color="auto" w:fill="auto"/>
            <w:noWrap/>
            <w:vAlign w:val="bottom"/>
            <w:hideMark/>
          </w:tcPr>
          <w:p w:rsidR="003A7EC7" w:rsidRPr="003A7EC7" w:rsidRDefault="003A7EC7" w:rsidP="003A7EC7">
            <w:pPr>
              <w:jc w:val="right"/>
              <w:rPr>
                <w:color w:val="000000"/>
                <w:sz w:val="20"/>
                <w:szCs w:val="20"/>
              </w:rPr>
            </w:pPr>
            <w:r w:rsidRPr="003A7EC7">
              <w:rPr>
                <w:color w:val="000000"/>
                <w:sz w:val="20"/>
                <w:szCs w:val="20"/>
              </w:rPr>
              <w:t>$25.00</w:t>
            </w:r>
          </w:p>
        </w:tc>
        <w:tc>
          <w:tcPr>
            <w:tcW w:w="1240" w:type="dxa"/>
            <w:tcBorders>
              <w:top w:val="nil"/>
              <w:left w:val="nil"/>
              <w:bottom w:val="single" w:sz="4" w:space="0" w:color="000000"/>
              <w:right w:val="single" w:sz="4" w:space="0" w:color="000000"/>
            </w:tcBorders>
            <w:shd w:val="clear" w:color="auto" w:fill="auto"/>
            <w:noWrap/>
            <w:vAlign w:val="bottom"/>
            <w:hideMark/>
          </w:tcPr>
          <w:p w:rsidR="003A7EC7" w:rsidRPr="003A7EC7" w:rsidRDefault="003A7EC7" w:rsidP="003A7EC7">
            <w:pPr>
              <w:jc w:val="right"/>
              <w:rPr>
                <w:color w:val="000000"/>
                <w:sz w:val="20"/>
                <w:szCs w:val="20"/>
              </w:rPr>
            </w:pPr>
            <w:r w:rsidRPr="003A7EC7">
              <w:rPr>
                <w:color w:val="000000"/>
                <w:sz w:val="20"/>
                <w:szCs w:val="20"/>
              </w:rPr>
              <w:t>$0.00</w:t>
            </w:r>
          </w:p>
        </w:tc>
        <w:tc>
          <w:tcPr>
            <w:tcW w:w="1140" w:type="dxa"/>
            <w:tcBorders>
              <w:top w:val="nil"/>
              <w:left w:val="nil"/>
              <w:bottom w:val="single" w:sz="4" w:space="0" w:color="000000"/>
              <w:right w:val="single" w:sz="8" w:space="0" w:color="000000"/>
            </w:tcBorders>
            <w:shd w:val="clear" w:color="auto" w:fill="auto"/>
            <w:noWrap/>
            <w:vAlign w:val="bottom"/>
            <w:hideMark/>
          </w:tcPr>
          <w:p w:rsidR="003A7EC7" w:rsidRPr="003A7EC7" w:rsidRDefault="003A7EC7" w:rsidP="003A7EC7">
            <w:pPr>
              <w:jc w:val="right"/>
              <w:rPr>
                <w:color w:val="000000"/>
                <w:sz w:val="20"/>
                <w:szCs w:val="20"/>
              </w:rPr>
            </w:pPr>
            <w:r w:rsidRPr="003A7EC7">
              <w:rPr>
                <w:color w:val="000000"/>
                <w:sz w:val="20"/>
                <w:szCs w:val="20"/>
              </w:rPr>
              <w:t>$1,960.28</w:t>
            </w:r>
          </w:p>
        </w:tc>
      </w:tr>
      <w:tr w:rsidR="003A7EC7" w:rsidRPr="003A7EC7" w:rsidTr="003A7EC7">
        <w:trPr>
          <w:trHeight w:val="585"/>
        </w:trPr>
        <w:tc>
          <w:tcPr>
            <w:tcW w:w="2840" w:type="dxa"/>
            <w:tcBorders>
              <w:top w:val="nil"/>
              <w:left w:val="single" w:sz="8" w:space="0" w:color="000000"/>
              <w:bottom w:val="single" w:sz="8" w:space="0" w:color="000000"/>
              <w:right w:val="single" w:sz="8" w:space="0" w:color="000000"/>
            </w:tcBorders>
            <w:shd w:val="clear" w:color="auto" w:fill="auto"/>
            <w:vAlign w:val="bottom"/>
            <w:hideMark/>
          </w:tcPr>
          <w:p w:rsidR="003A7EC7" w:rsidRPr="003A7EC7" w:rsidRDefault="003A7EC7" w:rsidP="003A7EC7">
            <w:pPr>
              <w:rPr>
                <w:color w:val="000000"/>
                <w:sz w:val="20"/>
                <w:szCs w:val="20"/>
              </w:rPr>
            </w:pPr>
            <w:r w:rsidRPr="003A7EC7">
              <w:rPr>
                <w:color w:val="000000"/>
                <w:sz w:val="20"/>
                <w:szCs w:val="20"/>
              </w:rPr>
              <w:t xml:space="preserve">ELECTRICIANS, CONSTRUCTION </w:t>
            </w:r>
          </w:p>
        </w:tc>
        <w:tc>
          <w:tcPr>
            <w:tcW w:w="1060" w:type="dxa"/>
            <w:tcBorders>
              <w:top w:val="nil"/>
              <w:left w:val="nil"/>
              <w:bottom w:val="single" w:sz="8" w:space="0" w:color="000000"/>
              <w:right w:val="single" w:sz="4" w:space="0" w:color="000000"/>
            </w:tcBorders>
            <w:shd w:val="clear" w:color="auto" w:fill="auto"/>
            <w:noWrap/>
            <w:vAlign w:val="bottom"/>
            <w:hideMark/>
          </w:tcPr>
          <w:p w:rsidR="003A7EC7" w:rsidRPr="003A7EC7" w:rsidRDefault="003A7EC7" w:rsidP="003A7EC7">
            <w:pPr>
              <w:jc w:val="right"/>
              <w:rPr>
                <w:color w:val="000000"/>
                <w:sz w:val="20"/>
                <w:szCs w:val="20"/>
              </w:rPr>
            </w:pPr>
            <w:r w:rsidRPr="003A7EC7">
              <w:rPr>
                <w:color w:val="000000"/>
                <w:sz w:val="20"/>
                <w:szCs w:val="20"/>
              </w:rPr>
              <w:t>$21,762.59</w:t>
            </w:r>
          </w:p>
        </w:tc>
        <w:tc>
          <w:tcPr>
            <w:tcW w:w="1160" w:type="dxa"/>
            <w:tcBorders>
              <w:top w:val="nil"/>
              <w:left w:val="nil"/>
              <w:bottom w:val="single" w:sz="8" w:space="0" w:color="000000"/>
              <w:right w:val="single" w:sz="4" w:space="0" w:color="000000"/>
            </w:tcBorders>
            <w:shd w:val="clear" w:color="auto" w:fill="auto"/>
            <w:noWrap/>
            <w:vAlign w:val="bottom"/>
            <w:hideMark/>
          </w:tcPr>
          <w:p w:rsidR="003A7EC7" w:rsidRPr="003A7EC7" w:rsidRDefault="003A7EC7" w:rsidP="003A7EC7">
            <w:pPr>
              <w:jc w:val="right"/>
              <w:rPr>
                <w:color w:val="000000"/>
                <w:sz w:val="20"/>
                <w:szCs w:val="20"/>
              </w:rPr>
            </w:pPr>
            <w:r w:rsidRPr="003A7EC7">
              <w:rPr>
                <w:color w:val="000000"/>
                <w:sz w:val="20"/>
                <w:szCs w:val="20"/>
              </w:rPr>
              <w:t>$8,704.88</w:t>
            </w:r>
          </w:p>
        </w:tc>
        <w:tc>
          <w:tcPr>
            <w:tcW w:w="1120" w:type="dxa"/>
            <w:tcBorders>
              <w:top w:val="nil"/>
              <w:left w:val="nil"/>
              <w:bottom w:val="single" w:sz="8" w:space="0" w:color="000000"/>
              <w:right w:val="single" w:sz="4" w:space="0" w:color="000000"/>
            </w:tcBorders>
            <w:shd w:val="clear" w:color="auto" w:fill="auto"/>
            <w:noWrap/>
            <w:vAlign w:val="bottom"/>
            <w:hideMark/>
          </w:tcPr>
          <w:p w:rsidR="003A7EC7" w:rsidRPr="003A7EC7" w:rsidRDefault="003A7EC7" w:rsidP="003A7EC7">
            <w:pPr>
              <w:jc w:val="right"/>
              <w:rPr>
                <w:color w:val="000000"/>
                <w:sz w:val="20"/>
                <w:szCs w:val="20"/>
              </w:rPr>
            </w:pPr>
            <w:r w:rsidRPr="003A7EC7">
              <w:rPr>
                <w:color w:val="000000"/>
                <w:sz w:val="20"/>
                <w:szCs w:val="20"/>
              </w:rPr>
              <w:t>$2,880.29</w:t>
            </w:r>
          </w:p>
        </w:tc>
        <w:tc>
          <w:tcPr>
            <w:tcW w:w="1240" w:type="dxa"/>
            <w:tcBorders>
              <w:top w:val="nil"/>
              <w:left w:val="nil"/>
              <w:bottom w:val="single" w:sz="8" w:space="0" w:color="000000"/>
              <w:right w:val="single" w:sz="4" w:space="0" w:color="000000"/>
            </w:tcBorders>
            <w:shd w:val="clear" w:color="auto" w:fill="auto"/>
            <w:noWrap/>
            <w:vAlign w:val="bottom"/>
            <w:hideMark/>
          </w:tcPr>
          <w:p w:rsidR="003A7EC7" w:rsidRPr="003A7EC7" w:rsidRDefault="003A7EC7" w:rsidP="003A7EC7">
            <w:pPr>
              <w:jc w:val="right"/>
              <w:rPr>
                <w:color w:val="000000"/>
                <w:sz w:val="20"/>
                <w:szCs w:val="20"/>
              </w:rPr>
            </w:pPr>
            <w:r w:rsidRPr="003A7EC7">
              <w:rPr>
                <w:color w:val="000000"/>
                <w:sz w:val="20"/>
                <w:szCs w:val="20"/>
              </w:rPr>
              <w:t>$25,795.39</w:t>
            </w:r>
          </w:p>
        </w:tc>
        <w:tc>
          <w:tcPr>
            <w:tcW w:w="1140" w:type="dxa"/>
            <w:tcBorders>
              <w:top w:val="nil"/>
              <w:left w:val="nil"/>
              <w:bottom w:val="single" w:sz="8" w:space="0" w:color="000000"/>
              <w:right w:val="single" w:sz="8" w:space="0" w:color="000000"/>
            </w:tcBorders>
            <w:shd w:val="clear" w:color="auto" w:fill="auto"/>
            <w:noWrap/>
            <w:vAlign w:val="bottom"/>
            <w:hideMark/>
          </w:tcPr>
          <w:p w:rsidR="003A7EC7" w:rsidRPr="003A7EC7" w:rsidRDefault="003A7EC7" w:rsidP="003A7EC7">
            <w:pPr>
              <w:jc w:val="right"/>
              <w:rPr>
                <w:color w:val="000000"/>
                <w:sz w:val="20"/>
                <w:szCs w:val="20"/>
              </w:rPr>
            </w:pPr>
            <w:r w:rsidRPr="003A7EC7">
              <w:rPr>
                <w:color w:val="000000"/>
                <w:sz w:val="20"/>
                <w:szCs w:val="20"/>
              </w:rPr>
              <w:t>$59,143.15</w:t>
            </w:r>
          </w:p>
        </w:tc>
      </w:tr>
      <w:tr w:rsidR="003A7EC7" w:rsidRPr="003A7EC7" w:rsidTr="003A7EC7">
        <w:trPr>
          <w:trHeight w:val="480"/>
        </w:trPr>
        <w:tc>
          <w:tcPr>
            <w:tcW w:w="2840" w:type="dxa"/>
            <w:tcBorders>
              <w:top w:val="nil"/>
              <w:left w:val="single" w:sz="8" w:space="0" w:color="000000"/>
              <w:bottom w:val="single" w:sz="8" w:space="0" w:color="000000"/>
              <w:right w:val="single" w:sz="8" w:space="0" w:color="000000"/>
            </w:tcBorders>
            <w:shd w:val="clear" w:color="auto" w:fill="auto"/>
            <w:noWrap/>
            <w:vAlign w:val="bottom"/>
            <w:hideMark/>
          </w:tcPr>
          <w:p w:rsidR="003A7EC7" w:rsidRPr="003A7EC7" w:rsidRDefault="003A7EC7" w:rsidP="003A7EC7">
            <w:pPr>
              <w:jc w:val="right"/>
              <w:rPr>
                <w:b/>
                <w:bCs/>
                <w:color w:val="000000"/>
                <w:sz w:val="20"/>
                <w:szCs w:val="20"/>
              </w:rPr>
            </w:pPr>
            <w:r w:rsidRPr="003A7EC7">
              <w:rPr>
                <w:b/>
                <w:bCs/>
                <w:color w:val="000000"/>
                <w:sz w:val="20"/>
                <w:szCs w:val="20"/>
              </w:rPr>
              <w:t>Total</w:t>
            </w:r>
          </w:p>
        </w:tc>
        <w:tc>
          <w:tcPr>
            <w:tcW w:w="1060" w:type="dxa"/>
            <w:tcBorders>
              <w:top w:val="nil"/>
              <w:left w:val="nil"/>
              <w:bottom w:val="single" w:sz="8" w:space="0" w:color="000000"/>
              <w:right w:val="single" w:sz="8" w:space="0" w:color="000000"/>
            </w:tcBorders>
            <w:shd w:val="clear" w:color="auto" w:fill="auto"/>
            <w:noWrap/>
            <w:vAlign w:val="bottom"/>
            <w:hideMark/>
          </w:tcPr>
          <w:p w:rsidR="003A7EC7" w:rsidRPr="003A7EC7" w:rsidRDefault="003A7EC7" w:rsidP="003A7EC7">
            <w:pPr>
              <w:jc w:val="right"/>
              <w:rPr>
                <w:b/>
                <w:bCs/>
                <w:color w:val="000000"/>
                <w:sz w:val="20"/>
                <w:szCs w:val="20"/>
              </w:rPr>
            </w:pPr>
            <w:r w:rsidRPr="003A7EC7">
              <w:rPr>
                <w:b/>
                <w:bCs/>
                <w:color w:val="000000"/>
                <w:sz w:val="20"/>
                <w:szCs w:val="20"/>
              </w:rPr>
              <w:t>$23,216.53</w:t>
            </w:r>
          </w:p>
        </w:tc>
        <w:tc>
          <w:tcPr>
            <w:tcW w:w="1160" w:type="dxa"/>
            <w:tcBorders>
              <w:top w:val="nil"/>
              <w:left w:val="nil"/>
              <w:bottom w:val="single" w:sz="8" w:space="0" w:color="000000"/>
              <w:right w:val="single" w:sz="8" w:space="0" w:color="000000"/>
            </w:tcBorders>
            <w:shd w:val="clear" w:color="auto" w:fill="auto"/>
            <w:noWrap/>
            <w:vAlign w:val="bottom"/>
            <w:hideMark/>
          </w:tcPr>
          <w:p w:rsidR="003A7EC7" w:rsidRPr="003A7EC7" w:rsidRDefault="003A7EC7" w:rsidP="003A7EC7">
            <w:pPr>
              <w:jc w:val="right"/>
              <w:rPr>
                <w:b/>
                <w:bCs/>
                <w:color w:val="000000"/>
                <w:sz w:val="20"/>
                <w:szCs w:val="20"/>
              </w:rPr>
            </w:pPr>
            <w:r w:rsidRPr="003A7EC7">
              <w:rPr>
                <w:b/>
                <w:bCs/>
                <w:color w:val="000000"/>
                <w:sz w:val="20"/>
                <w:szCs w:val="20"/>
              </w:rPr>
              <w:t>$9,286.48</w:t>
            </w:r>
          </w:p>
        </w:tc>
        <w:tc>
          <w:tcPr>
            <w:tcW w:w="1120" w:type="dxa"/>
            <w:tcBorders>
              <w:top w:val="nil"/>
              <w:left w:val="nil"/>
              <w:bottom w:val="single" w:sz="8" w:space="0" w:color="000000"/>
              <w:right w:val="single" w:sz="8" w:space="0" w:color="000000"/>
            </w:tcBorders>
            <w:shd w:val="clear" w:color="auto" w:fill="auto"/>
            <w:noWrap/>
            <w:vAlign w:val="bottom"/>
            <w:hideMark/>
          </w:tcPr>
          <w:p w:rsidR="003A7EC7" w:rsidRPr="003A7EC7" w:rsidRDefault="003A7EC7" w:rsidP="003A7EC7">
            <w:pPr>
              <w:jc w:val="right"/>
              <w:rPr>
                <w:b/>
                <w:bCs/>
                <w:color w:val="000000"/>
                <w:sz w:val="20"/>
                <w:szCs w:val="20"/>
              </w:rPr>
            </w:pPr>
            <w:r w:rsidRPr="003A7EC7">
              <w:rPr>
                <w:b/>
                <w:bCs/>
                <w:color w:val="000000"/>
                <w:sz w:val="20"/>
                <w:szCs w:val="20"/>
              </w:rPr>
              <w:t>$2,905.29</w:t>
            </w:r>
          </w:p>
        </w:tc>
        <w:tc>
          <w:tcPr>
            <w:tcW w:w="1240" w:type="dxa"/>
            <w:tcBorders>
              <w:top w:val="nil"/>
              <w:left w:val="nil"/>
              <w:bottom w:val="single" w:sz="8" w:space="0" w:color="000000"/>
              <w:right w:val="single" w:sz="8" w:space="0" w:color="000000"/>
            </w:tcBorders>
            <w:shd w:val="clear" w:color="auto" w:fill="auto"/>
            <w:noWrap/>
            <w:vAlign w:val="bottom"/>
            <w:hideMark/>
          </w:tcPr>
          <w:p w:rsidR="003A7EC7" w:rsidRPr="003A7EC7" w:rsidRDefault="003A7EC7" w:rsidP="003A7EC7">
            <w:pPr>
              <w:jc w:val="right"/>
              <w:rPr>
                <w:b/>
                <w:bCs/>
                <w:color w:val="000000"/>
                <w:sz w:val="20"/>
                <w:szCs w:val="20"/>
              </w:rPr>
            </w:pPr>
            <w:r w:rsidRPr="003A7EC7">
              <w:rPr>
                <w:b/>
                <w:bCs/>
                <w:color w:val="000000"/>
                <w:sz w:val="20"/>
                <w:szCs w:val="20"/>
              </w:rPr>
              <w:t>$25,795.39</w:t>
            </w:r>
          </w:p>
        </w:tc>
        <w:tc>
          <w:tcPr>
            <w:tcW w:w="1140" w:type="dxa"/>
            <w:tcBorders>
              <w:top w:val="nil"/>
              <w:left w:val="nil"/>
              <w:bottom w:val="single" w:sz="8" w:space="0" w:color="000000"/>
              <w:right w:val="single" w:sz="8" w:space="0" w:color="000000"/>
            </w:tcBorders>
            <w:shd w:val="clear" w:color="auto" w:fill="auto"/>
            <w:noWrap/>
            <w:vAlign w:val="bottom"/>
            <w:hideMark/>
          </w:tcPr>
          <w:p w:rsidR="003A7EC7" w:rsidRPr="003A7EC7" w:rsidRDefault="003A7EC7" w:rsidP="003A7EC7">
            <w:pPr>
              <w:jc w:val="right"/>
              <w:rPr>
                <w:b/>
                <w:bCs/>
                <w:color w:val="000000"/>
                <w:sz w:val="20"/>
                <w:szCs w:val="20"/>
              </w:rPr>
            </w:pPr>
            <w:r w:rsidRPr="003A7EC7">
              <w:rPr>
                <w:b/>
                <w:bCs/>
                <w:color w:val="000000"/>
                <w:sz w:val="20"/>
                <w:szCs w:val="20"/>
              </w:rPr>
              <w:t>$61,203.69</w:t>
            </w:r>
          </w:p>
        </w:tc>
      </w:tr>
    </w:tbl>
    <w:p w:rsidR="00911A22" w:rsidRPr="00AC2151" w:rsidRDefault="00911A22" w:rsidP="00911A22">
      <w:pPr>
        <w:rPr>
          <w:sz w:val="28"/>
          <w:szCs w:val="28"/>
        </w:rPr>
      </w:pPr>
    </w:p>
    <w:p w:rsidR="00526C0C" w:rsidRPr="00AC2151" w:rsidRDefault="00526C0C" w:rsidP="00911A22">
      <w:pPr>
        <w:rPr>
          <w:sz w:val="28"/>
          <w:szCs w:val="28"/>
        </w:rPr>
      </w:pPr>
    </w:p>
    <w:p w:rsidR="00AC2151" w:rsidRPr="006037BB" w:rsidRDefault="00AC2151" w:rsidP="00911A22">
      <w:r w:rsidRPr="00AC2151">
        <w:rPr>
          <w:sz w:val="28"/>
          <w:szCs w:val="28"/>
        </w:rPr>
        <w:tab/>
      </w:r>
      <w:r w:rsidRPr="006037BB">
        <w:t xml:space="preserve">In an effort to track our actual power consumption in this area we requested use of a HOBO data logger </w:t>
      </w:r>
      <w:r w:rsidR="00041C6E">
        <w:t>from F&amp;S</w:t>
      </w:r>
      <w:r w:rsidRPr="006037BB">
        <w:t xml:space="preserve"> </w:t>
      </w:r>
      <w:r w:rsidR="00041C6E">
        <w:t>that</w:t>
      </w:r>
      <w:r w:rsidRPr="006037BB">
        <w:t xml:space="preserve"> was installed on the lighting panel power feed.  This d</w:t>
      </w:r>
      <w:r w:rsidR="00041C6E">
        <w:t>evice takes current readings at</w:t>
      </w:r>
      <w:r w:rsidRPr="006037BB">
        <w:t xml:space="preserve"> set intervals and logs the information to be downloaded.  We used this to log </w:t>
      </w:r>
      <w:r w:rsidR="00041C6E">
        <w:t xml:space="preserve">actual </w:t>
      </w:r>
      <w:r w:rsidRPr="006037BB">
        <w:t>current</w:t>
      </w:r>
      <w:r w:rsidR="00041C6E">
        <w:t xml:space="preserve"> (amps)</w:t>
      </w:r>
      <w:r w:rsidRPr="006037BB">
        <w:t xml:space="preserve"> usage every 5 minutes during the construction phase and for 2 months after project completion.  The data gives us a distinct picture of what our actual savings </w:t>
      </w:r>
      <w:r w:rsidR="006037BB" w:rsidRPr="006037BB">
        <w:t>are for this area and have graphed daily averages to dete</w:t>
      </w:r>
      <w:r w:rsidR="006037BB">
        <w:t xml:space="preserve">rmine </w:t>
      </w:r>
      <w:r w:rsidR="006037BB">
        <w:lastRenderedPageBreak/>
        <w:t>what our real savings are.  As you can see in the following graphs we are seeing a very consistent reduction in power consumption and cost.</w:t>
      </w:r>
    </w:p>
    <w:p w:rsidR="006037BB" w:rsidRDefault="006037BB" w:rsidP="00911A22">
      <w:pPr>
        <w:rPr>
          <w:sz w:val="28"/>
          <w:szCs w:val="28"/>
        </w:rPr>
      </w:pPr>
    </w:p>
    <w:p w:rsidR="006037BB" w:rsidRPr="006037BB" w:rsidRDefault="006037BB" w:rsidP="00911A22">
      <w:pPr>
        <w:rPr>
          <w:sz w:val="18"/>
          <w:szCs w:val="18"/>
        </w:rPr>
      </w:pPr>
      <w:r w:rsidRPr="006037BB">
        <w:rPr>
          <w:sz w:val="18"/>
          <w:szCs w:val="18"/>
        </w:rPr>
        <w:t>Daily Power Average</w:t>
      </w:r>
    </w:p>
    <w:p w:rsidR="006037BB" w:rsidRDefault="006037BB" w:rsidP="00911A22">
      <w:pPr>
        <w:rPr>
          <w:sz w:val="28"/>
          <w:szCs w:val="28"/>
        </w:rPr>
      </w:pPr>
    </w:p>
    <w:p w:rsidR="006037BB" w:rsidRDefault="006037BB" w:rsidP="00911A22">
      <w:pPr>
        <w:rPr>
          <w:sz w:val="28"/>
          <w:szCs w:val="28"/>
        </w:rPr>
      </w:pPr>
      <w:r w:rsidRPr="006037BB">
        <w:rPr>
          <w:noProof/>
          <w:sz w:val="28"/>
          <w:szCs w:val="28"/>
        </w:rPr>
        <w:drawing>
          <wp:inline distT="0" distB="0" distL="0" distR="0">
            <wp:extent cx="5581650" cy="30765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037BB" w:rsidRDefault="006037BB" w:rsidP="00911A22">
      <w:pPr>
        <w:rPr>
          <w:sz w:val="28"/>
          <w:szCs w:val="28"/>
        </w:rPr>
      </w:pPr>
    </w:p>
    <w:p w:rsidR="006037BB" w:rsidRDefault="006037BB" w:rsidP="00911A22">
      <w:pPr>
        <w:rPr>
          <w:sz w:val="28"/>
          <w:szCs w:val="28"/>
        </w:rPr>
      </w:pPr>
    </w:p>
    <w:p w:rsidR="006037BB" w:rsidRDefault="006037BB" w:rsidP="00911A22">
      <w:pPr>
        <w:rPr>
          <w:sz w:val="18"/>
          <w:szCs w:val="18"/>
        </w:rPr>
      </w:pPr>
      <w:r>
        <w:rPr>
          <w:sz w:val="18"/>
          <w:szCs w:val="18"/>
        </w:rPr>
        <w:t>Daily Average Cost</w:t>
      </w:r>
    </w:p>
    <w:p w:rsidR="006037BB" w:rsidRDefault="006037BB" w:rsidP="00911A22">
      <w:pPr>
        <w:rPr>
          <w:sz w:val="18"/>
          <w:szCs w:val="18"/>
        </w:rPr>
      </w:pPr>
    </w:p>
    <w:p w:rsidR="006037BB" w:rsidRPr="006037BB" w:rsidRDefault="006037BB" w:rsidP="00911A22">
      <w:pPr>
        <w:rPr>
          <w:sz w:val="18"/>
          <w:szCs w:val="18"/>
        </w:rPr>
      </w:pPr>
      <w:r w:rsidRPr="006037BB">
        <w:rPr>
          <w:noProof/>
          <w:sz w:val="18"/>
          <w:szCs w:val="18"/>
        </w:rPr>
        <w:drawing>
          <wp:inline distT="0" distB="0" distL="0" distR="0">
            <wp:extent cx="5581650" cy="30480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12558" w:rsidRDefault="00312558" w:rsidP="007349F9">
      <w:pPr>
        <w:rPr>
          <w:rFonts w:ascii="Garamond" w:hAnsi="Garamond"/>
          <w:sz w:val="28"/>
          <w:szCs w:val="28"/>
        </w:rPr>
      </w:pPr>
    </w:p>
    <w:p w:rsidR="00312558" w:rsidRPr="007349F9" w:rsidRDefault="00312558" w:rsidP="007349F9">
      <w:pPr>
        <w:rPr>
          <w:rFonts w:ascii="Garamond" w:hAnsi="Garamond"/>
          <w:sz w:val="28"/>
          <w:szCs w:val="28"/>
        </w:rPr>
      </w:pPr>
      <w:r>
        <w:rPr>
          <w:rFonts w:ascii="Garamond" w:hAnsi="Garamond"/>
          <w:sz w:val="28"/>
          <w:szCs w:val="28"/>
        </w:rPr>
        <w:tab/>
      </w:r>
    </w:p>
    <w:p w:rsidR="007349F9" w:rsidRDefault="00EC4491" w:rsidP="006037BB">
      <w:r>
        <w:lastRenderedPageBreak/>
        <w:t>The t</w:t>
      </w:r>
      <w:r w:rsidR="006037BB">
        <w:t>otal average re</w:t>
      </w:r>
      <w:r w:rsidR="00124F5D">
        <w:t>duction for this project is 75.7</w:t>
      </w:r>
      <w:r w:rsidR="006037BB">
        <w:t xml:space="preserve">% </w:t>
      </w:r>
      <w:r>
        <w:t>of previous power consumption</w:t>
      </w:r>
      <w:r w:rsidR="003B0F4D">
        <w:t xml:space="preserve"> or a yearly reduction of 129,226 kWh</w:t>
      </w:r>
      <w:r w:rsidR="006037BB">
        <w:t xml:space="preserve">.  This translates to an </w:t>
      </w:r>
      <w:r w:rsidR="009C5F93">
        <w:t>actual savings of $9,020.00 a year</w:t>
      </w:r>
      <w:r w:rsidR="00124F5D">
        <w:t xml:space="preserve"> at $.0698</w:t>
      </w:r>
      <w:r>
        <w:t xml:space="preserve"> per kWh with a simple payback on the project of 6.78 years.  The reasons for this inconsistency with the original proposal </w:t>
      </w:r>
      <w:r w:rsidR="00D06E32">
        <w:t xml:space="preserve">are power savings that were based on </w:t>
      </w:r>
      <w:r w:rsidR="00065E33">
        <w:t>estimated, not actual, use</w:t>
      </w:r>
      <w:r w:rsidR="00D06E32">
        <w:t xml:space="preserve"> and an unanticipated drop in electrical rates from $0.0736 to $0.0698 per kWh.  </w:t>
      </w:r>
    </w:p>
    <w:p w:rsidR="00D06E32" w:rsidRDefault="00D06E32" w:rsidP="006037BB"/>
    <w:p w:rsidR="00D06E32" w:rsidRPr="006037BB" w:rsidRDefault="00D06E32" w:rsidP="006037BB">
      <w:r>
        <w:tab/>
        <w:t xml:space="preserve">I would like to convey the thanks of Campus Recreation to the Student Sustainability Committee for funding this project with an interest free loan and supporting our sustainability efforts at the ARC.  </w:t>
      </w:r>
      <w:r w:rsidR="004C6608">
        <w:t xml:space="preserve">We are planning a permanent plaque by the ball courts recognizing the SSC’s role. </w:t>
      </w:r>
    </w:p>
    <w:p w:rsidR="007349F9" w:rsidRPr="007349F9" w:rsidRDefault="007349F9" w:rsidP="007349F9">
      <w:pPr>
        <w:jc w:val="center"/>
        <w:rPr>
          <w:rFonts w:ascii="Garamond" w:hAnsi="Garamond"/>
          <w:b/>
          <w:sz w:val="32"/>
          <w:szCs w:val="32"/>
        </w:rPr>
      </w:pPr>
    </w:p>
    <w:sectPr w:rsidR="007349F9" w:rsidRPr="007349F9" w:rsidSect="003400D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72C57"/>
    <w:multiLevelType w:val="hybridMultilevel"/>
    <w:tmpl w:val="9ADC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7349F9"/>
    <w:rsid w:val="00000C6E"/>
    <w:rsid w:val="00000DC4"/>
    <w:rsid w:val="000010BE"/>
    <w:rsid w:val="00001C1B"/>
    <w:rsid w:val="00002174"/>
    <w:rsid w:val="00012089"/>
    <w:rsid w:val="00012349"/>
    <w:rsid w:val="000123E9"/>
    <w:rsid w:val="0002389A"/>
    <w:rsid w:val="00024E17"/>
    <w:rsid w:val="0002674F"/>
    <w:rsid w:val="000304BB"/>
    <w:rsid w:val="000308D3"/>
    <w:rsid w:val="00030F5A"/>
    <w:rsid w:val="00034D13"/>
    <w:rsid w:val="000371AE"/>
    <w:rsid w:val="00037665"/>
    <w:rsid w:val="00041C6E"/>
    <w:rsid w:val="00043E59"/>
    <w:rsid w:val="00044035"/>
    <w:rsid w:val="0005197D"/>
    <w:rsid w:val="00052994"/>
    <w:rsid w:val="00056155"/>
    <w:rsid w:val="000567FB"/>
    <w:rsid w:val="00057F99"/>
    <w:rsid w:val="00062A0F"/>
    <w:rsid w:val="00063FAA"/>
    <w:rsid w:val="0006433F"/>
    <w:rsid w:val="00065E33"/>
    <w:rsid w:val="000668C7"/>
    <w:rsid w:val="00072AB9"/>
    <w:rsid w:val="000732E1"/>
    <w:rsid w:val="00073694"/>
    <w:rsid w:val="0007390A"/>
    <w:rsid w:val="000774EA"/>
    <w:rsid w:val="00080B66"/>
    <w:rsid w:val="00081038"/>
    <w:rsid w:val="00082329"/>
    <w:rsid w:val="00082DAF"/>
    <w:rsid w:val="00083122"/>
    <w:rsid w:val="000844B5"/>
    <w:rsid w:val="00085607"/>
    <w:rsid w:val="00090B38"/>
    <w:rsid w:val="0009384B"/>
    <w:rsid w:val="00094DEE"/>
    <w:rsid w:val="0009500C"/>
    <w:rsid w:val="0009681A"/>
    <w:rsid w:val="000A0F4A"/>
    <w:rsid w:val="000A197B"/>
    <w:rsid w:val="000A6A2D"/>
    <w:rsid w:val="000B1EDC"/>
    <w:rsid w:val="000B20DD"/>
    <w:rsid w:val="000B2A54"/>
    <w:rsid w:val="000B324C"/>
    <w:rsid w:val="000B34EB"/>
    <w:rsid w:val="000C100B"/>
    <w:rsid w:val="000C18BC"/>
    <w:rsid w:val="000D417E"/>
    <w:rsid w:val="000D7540"/>
    <w:rsid w:val="000D78D5"/>
    <w:rsid w:val="000E07D6"/>
    <w:rsid w:val="000E2F7C"/>
    <w:rsid w:val="000E5E94"/>
    <w:rsid w:val="000E609F"/>
    <w:rsid w:val="000F394C"/>
    <w:rsid w:val="000F500A"/>
    <w:rsid w:val="000F6834"/>
    <w:rsid w:val="00100DB3"/>
    <w:rsid w:val="0010126B"/>
    <w:rsid w:val="0010163D"/>
    <w:rsid w:val="00101DC7"/>
    <w:rsid w:val="001060ED"/>
    <w:rsid w:val="00110886"/>
    <w:rsid w:val="001115BB"/>
    <w:rsid w:val="00115B3E"/>
    <w:rsid w:val="0011652E"/>
    <w:rsid w:val="0012126C"/>
    <w:rsid w:val="00124659"/>
    <w:rsid w:val="001249BD"/>
    <w:rsid w:val="00124F5D"/>
    <w:rsid w:val="0012513C"/>
    <w:rsid w:val="0013029C"/>
    <w:rsid w:val="00135841"/>
    <w:rsid w:val="001363A2"/>
    <w:rsid w:val="001370A5"/>
    <w:rsid w:val="00137FEA"/>
    <w:rsid w:val="001401C9"/>
    <w:rsid w:val="00143AD4"/>
    <w:rsid w:val="001468D9"/>
    <w:rsid w:val="00154BAA"/>
    <w:rsid w:val="00157E56"/>
    <w:rsid w:val="00161532"/>
    <w:rsid w:val="00163761"/>
    <w:rsid w:val="00163F62"/>
    <w:rsid w:val="001650A1"/>
    <w:rsid w:val="0016514D"/>
    <w:rsid w:val="0016558D"/>
    <w:rsid w:val="00167659"/>
    <w:rsid w:val="00172791"/>
    <w:rsid w:val="00172A40"/>
    <w:rsid w:val="00173482"/>
    <w:rsid w:val="001774B7"/>
    <w:rsid w:val="001800F1"/>
    <w:rsid w:val="00187F5A"/>
    <w:rsid w:val="00191305"/>
    <w:rsid w:val="00192032"/>
    <w:rsid w:val="00196271"/>
    <w:rsid w:val="001A423E"/>
    <w:rsid w:val="001A43F0"/>
    <w:rsid w:val="001A7963"/>
    <w:rsid w:val="001B0684"/>
    <w:rsid w:val="001C79B7"/>
    <w:rsid w:val="001D3AE9"/>
    <w:rsid w:val="001D51B8"/>
    <w:rsid w:val="001E2F03"/>
    <w:rsid w:val="001E5A6D"/>
    <w:rsid w:val="001E7225"/>
    <w:rsid w:val="001E7BA5"/>
    <w:rsid w:val="00200266"/>
    <w:rsid w:val="00200E44"/>
    <w:rsid w:val="00205B2E"/>
    <w:rsid w:val="00206CD7"/>
    <w:rsid w:val="00215CF0"/>
    <w:rsid w:val="002173C6"/>
    <w:rsid w:val="002231AD"/>
    <w:rsid w:val="0022425C"/>
    <w:rsid w:val="00226D5E"/>
    <w:rsid w:val="002277D3"/>
    <w:rsid w:val="00237A8E"/>
    <w:rsid w:val="002416B8"/>
    <w:rsid w:val="00242094"/>
    <w:rsid w:val="00242814"/>
    <w:rsid w:val="00243A15"/>
    <w:rsid w:val="00251D1C"/>
    <w:rsid w:val="0025482D"/>
    <w:rsid w:val="00261789"/>
    <w:rsid w:val="002640BC"/>
    <w:rsid w:val="002643E9"/>
    <w:rsid w:val="00265824"/>
    <w:rsid w:val="0026620F"/>
    <w:rsid w:val="002663AB"/>
    <w:rsid w:val="00267A12"/>
    <w:rsid w:val="002706D0"/>
    <w:rsid w:val="0027239D"/>
    <w:rsid w:val="00274E50"/>
    <w:rsid w:val="00276B80"/>
    <w:rsid w:val="00277CA1"/>
    <w:rsid w:val="00280F0A"/>
    <w:rsid w:val="00282F48"/>
    <w:rsid w:val="00291F1D"/>
    <w:rsid w:val="00294F2C"/>
    <w:rsid w:val="00295022"/>
    <w:rsid w:val="0029773C"/>
    <w:rsid w:val="002A4ACB"/>
    <w:rsid w:val="002A57F9"/>
    <w:rsid w:val="002A5810"/>
    <w:rsid w:val="002A6EA4"/>
    <w:rsid w:val="002B1165"/>
    <w:rsid w:val="002B1FBF"/>
    <w:rsid w:val="002B2B9A"/>
    <w:rsid w:val="002B3568"/>
    <w:rsid w:val="002B3739"/>
    <w:rsid w:val="002B5824"/>
    <w:rsid w:val="002B5F19"/>
    <w:rsid w:val="002B7C8E"/>
    <w:rsid w:val="002C4B08"/>
    <w:rsid w:val="002C7397"/>
    <w:rsid w:val="002D1E9D"/>
    <w:rsid w:val="002D6D56"/>
    <w:rsid w:val="002E31B1"/>
    <w:rsid w:val="002E34B1"/>
    <w:rsid w:val="002E686A"/>
    <w:rsid w:val="002F09EF"/>
    <w:rsid w:val="002F362D"/>
    <w:rsid w:val="002F4950"/>
    <w:rsid w:val="002F560E"/>
    <w:rsid w:val="00302C4A"/>
    <w:rsid w:val="00303477"/>
    <w:rsid w:val="00303947"/>
    <w:rsid w:val="00304137"/>
    <w:rsid w:val="0030711D"/>
    <w:rsid w:val="00312558"/>
    <w:rsid w:val="00314AEA"/>
    <w:rsid w:val="00314EBE"/>
    <w:rsid w:val="0031588F"/>
    <w:rsid w:val="0031630D"/>
    <w:rsid w:val="0031777F"/>
    <w:rsid w:val="003209C0"/>
    <w:rsid w:val="0032543B"/>
    <w:rsid w:val="00330210"/>
    <w:rsid w:val="00333092"/>
    <w:rsid w:val="0033392E"/>
    <w:rsid w:val="0033519A"/>
    <w:rsid w:val="003400D9"/>
    <w:rsid w:val="003402F6"/>
    <w:rsid w:val="0034097E"/>
    <w:rsid w:val="0034182E"/>
    <w:rsid w:val="00342AAA"/>
    <w:rsid w:val="00344FAA"/>
    <w:rsid w:val="00345EAE"/>
    <w:rsid w:val="003508E3"/>
    <w:rsid w:val="0035156B"/>
    <w:rsid w:val="003621AE"/>
    <w:rsid w:val="003647D0"/>
    <w:rsid w:val="00370013"/>
    <w:rsid w:val="003773BB"/>
    <w:rsid w:val="003803CA"/>
    <w:rsid w:val="00381539"/>
    <w:rsid w:val="00381861"/>
    <w:rsid w:val="003832A4"/>
    <w:rsid w:val="00386038"/>
    <w:rsid w:val="00386EA9"/>
    <w:rsid w:val="003902F8"/>
    <w:rsid w:val="003917BF"/>
    <w:rsid w:val="00393037"/>
    <w:rsid w:val="003A3D3A"/>
    <w:rsid w:val="003A7EC7"/>
    <w:rsid w:val="003B0F4D"/>
    <w:rsid w:val="003B2F84"/>
    <w:rsid w:val="003B40E8"/>
    <w:rsid w:val="003C0E52"/>
    <w:rsid w:val="003C6AE8"/>
    <w:rsid w:val="003D0921"/>
    <w:rsid w:val="003D20AE"/>
    <w:rsid w:val="003D2C2D"/>
    <w:rsid w:val="003D5499"/>
    <w:rsid w:val="003E2DA5"/>
    <w:rsid w:val="003E5BBC"/>
    <w:rsid w:val="003E6204"/>
    <w:rsid w:val="003F27AA"/>
    <w:rsid w:val="003F3151"/>
    <w:rsid w:val="003F3BA4"/>
    <w:rsid w:val="003F4A63"/>
    <w:rsid w:val="00404713"/>
    <w:rsid w:val="0040772B"/>
    <w:rsid w:val="00410E6A"/>
    <w:rsid w:val="004155EB"/>
    <w:rsid w:val="00416F4B"/>
    <w:rsid w:val="0041726A"/>
    <w:rsid w:val="00424C43"/>
    <w:rsid w:val="00425E88"/>
    <w:rsid w:val="0042759F"/>
    <w:rsid w:val="004307C7"/>
    <w:rsid w:val="00432219"/>
    <w:rsid w:val="00441B4E"/>
    <w:rsid w:val="00444FF4"/>
    <w:rsid w:val="00445ABE"/>
    <w:rsid w:val="00445EE4"/>
    <w:rsid w:val="0044676D"/>
    <w:rsid w:val="00447090"/>
    <w:rsid w:val="00457211"/>
    <w:rsid w:val="00462EC8"/>
    <w:rsid w:val="0046347D"/>
    <w:rsid w:val="004649CC"/>
    <w:rsid w:val="0046536A"/>
    <w:rsid w:val="00465B4C"/>
    <w:rsid w:val="00467DC2"/>
    <w:rsid w:val="00472DA1"/>
    <w:rsid w:val="00473111"/>
    <w:rsid w:val="00475C54"/>
    <w:rsid w:val="004777E1"/>
    <w:rsid w:val="0048040A"/>
    <w:rsid w:val="0048135C"/>
    <w:rsid w:val="00483975"/>
    <w:rsid w:val="00484680"/>
    <w:rsid w:val="004856C4"/>
    <w:rsid w:val="004907CD"/>
    <w:rsid w:val="00490AC2"/>
    <w:rsid w:val="00490D61"/>
    <w:rsid w:val="0049296B"/>
    <w:rsid w:val="00494519"/>
    <w:rsid w:val="004976DC"/>
    <w:rsid w:val="004A0C52"/>
    <w:rsid w:val="004A3E6B"/>
    <w:rsid w:val="004A666A"/>
    <w:rsid w:val="004B2670"/>
    <w:rsid w:val="004B48FC"/>
    <w:rsid w:val="004B5E92"/>
    <w:rsid w:val="004C2A92"/>
    <w:rsid w:val="004C6608"/>
    <w:rsid w:val="004C7754"/>
    <w:rsid w:val="004C7D4C"/>
    <w:rsid w:val="004E0DFF"/>
    <w:rsid w:val="004E2CA7"/>
    <w:rsid w:val="004E364D"/>
    <w:rsid w:val="004E3940"/>
    <w:rsid w:val="004E3B2D"/>
    <w:rsid w:val="004E755F"/>
    <w:rsid w:val="004F37DF"/>
    <w:rsid w:val="004F3B93"/>
    <w:rsid w:val="004F53F2"/>
    <w:rsid w:val="004F6C66"/>
    <w:rsid w:val="00500034"/>
    <w:rsid w:val="00500B6D"/>
    <w:rsid w:val="00503F97"/>
    <w:rsid w:val="00506119"/>
    <w:rsid w:val="005076CC"/>
    <w:rsid w:val="005100C8"/>
    <w:rsid w:val="005118B3"/>
    <w:rsid w:val="0051193D"/>
    <w:rsid w:val="00514442"/>
    <w:rsid w:val="00515A51"/>
    <w:rsid w:val="00516E64"/>
    <w:rsid w:val="00522D3D"/>
    <w:rsid w:val="00524AAA"/>
    <w:rsid w:val="00524B32"/>
    <w:rsid w:val="005251C2"/>
    <w:rsid w:val="00526C0C"/>
    <w:rsid w:val="00533A40"/>
    <w:rsid w:val="00533CAB"/>
    <w:rsid w:val="005421E1"/>
    <w:rsid w:val="00542B0E"/>
    <w:rsid w:val="00550684"/>
    <w:rsid w:val="00551F51"/>
    <w:rsid w:val="00555B51"/>
    <w:rsid w:val="005575DF"/>
    <w:rsid w:val="005612F4"/>
    <w:rsid w:val="00562A58"/>
    <w:rsid w:val="00564F52"/>
    <w:rsid w:val="005656FF"/>
    <w:rsid w:val="00565805"/>
    <w:rsid w:val="005662DA"/>
    <w:rsid w:val="00571145"/>
    <w:rsid w:val="00571A19"/>
    <w:rsid w:val="0057453E"/>
    <w:rsid w:val="00574FFB"/>
    <w:rsid w:val="00576133"/>
    <w:rsid w:val="005816C5"/>
    <w:rsid w:val="0058232A"/>
    <w:rsid w:val="005831B8"/>
    <w:rsid w:val="00586DBB"/>
    <w:rsid w:val="0059614E"/>
    <w:rsid w:val="005A1A48"/>
    <w:rsid w:val="005A36BF"/>
    <w:rsid w:val="005A5644"/>
    <w:rsid w:val="005A5F87"/>
    <w:rsid w:val="005B2575"/>
    <w:rsid w:val="005B35D3"/>
    <w:rsid w:val="005B484F"/>
    <w:rsid w:val="005B7F00"/>
    <w:rsid w:val="005C2F6E"/>
    <w:rsid w:val="005C70B5"/>
    <w:rsid w:val="005D388E"/>
    <w:rsid w:val="005D6C30"/>
    <w:rsid w:val="005D795E"/>
    <w:rsid w:val="005E369A"/>
    <w:rsid w:val="005E3CE8"/>
    <w:rsid w:val="005E54A3"/>
    <w:rsid w:val="005E704C"/>
    <w:rsid w:val="005F320D"/>
    <w:rsid w:val="0060333B"/>
    <w:rsid w:val="006037BB"/>
    <w:rsid w:val="00603C9E"/>
    <w:rsid w:val="00610CBC"/>
    <w:rsid w:val="00620FE2"/>
    <w:rsid w:val="006212F8"/>
    <w:rsid w:val="00624307"/>
    <w:rsid w:val="0062514E"/>
    <w:rsid w:val="00632C18"/>
    <w:rsid w:val="00634619"/>
    <w:rsid w:val="006405D8"/>
    <w:rsid w:val="00641116"/>
    <w:rsid w:val="006422A9"/>
    <w:rsid w:val="00646AF1"/>
    <w:rsid w:val="00647332"/>
    <w:rsid w:val="00655918"/>
    <w:rsid w:val="006578FF"/>
    <w:rsid w:val="00660528"/>
    <w:rsid w:val="00662649"/>
    <w:rsid w:val="006636E0"/>
    <w:rsid w:val="00665A91"/>
    <w:rsid w:val="00671513"/>
    <w:rsid w:val="006715D7"/>
    <w:rsid w:val="00671B6C"/>
    <w:rsid w:val="006756A5"/>
    <w:rsid w:val="006759F6"/>
    <w:rsid w:val="006804C0"/>
    <w:rsid w:val="00683C39"/>
    <w:rsid w:val="00684E7F"/>
    <w:rsid w:val="00686D0F"/>
    <w:rsid w:val="00686E05"/>
    <w:rsid w:val="00687412"/>
    <w:rsid w:val="00687DEF"/>
    <w:rsid w:val="006907E6"/>
    <w:rsid w:val="006929B6"/>
    <w:rsid w:val="00693543"/>
    <w:rsid w:val="00695849"/>
    <w:rsid w:val="006A2101"/>
    <w:rsid w:val="006A4545"/>
    <w:rsid w:val="006B342E"/>
    <w:rsid w:val="006B4453"/>
    <w:rsid w:val="006B6140"/>
    <w:rsid w:val="006B731E"/>
    <w:rsid w:val="006B79BF"/>
    <w:rsid w:val="006C363C"/>
    <w:rsid w:val="006C6477"/>
    <w:rsid w:val="006D0AB2"/>
    <w:rsid w:val="006D0D5D"/>
    <w:rsid w:val="006D19CC"/>
    <w:rsid w:val="006D3490"/>
    <w:rsid w:val="006D6CD9"/>
    <w:rsid w:val="006E4A60"/>
    <w:rsid w:val="006E5341"/>
    <w:rsid w:val="006E55FA"/>
    <w:rsid w:val="006E5D56"/>
    <w:rsid w:val="006E6A22"/>
    <w:rsid w:val="006F4CAE"/>
    <w:rsid w:val="006F5FEB"/>
    <w:rsid w:val="00701C8E"/>
    <w:rsid w:val="00702104"/>
    <w:rsid w:val="007044B6"/>
    <w:rsid w:val="007057CA"/>
    <w:rsid w:val="00710181"/>
    <w:rsid w:val="00711D05"/>
    <w:rsid w:val="007134DE"/>
    <w:rsid w:val="007134FF"/>
    <w:rsid w:val="007148E7"/>
    <w:rsid w:val="007166EA"/>
    <w:rsid w:val="00724E91"/>
    <w:rsid w:val="00731461"/>
    <w:rsid w:val="007339D8"/>
    <w:rsid w:val="007349F9"/>
    <w:rsid w:val="00744CA7"/>
    <w:rsid w:val="007454DA"/>
    <w:rsid w:val="007474F8"/>
    <w:rsid w:val="00752E02"/>
    <w:rsid w:val="007562DD"/>
    <w:rsid w:val="00757357"/>
    <w:rsid w:val="00757589"/>
    <w:rsid w:val="007575B2"/>
    <w:rsid w:val="007615E4"/>
    <w:rsid w:val="007621E3"/>
    <w:rsid w:val="007625D0"/>
    <w:rsid w:val="007627EB"/>
    <w:rsid w:val="00763EF4"/>
    <w:rsid w:val="00774249"/>
    <w:rsid w:val="00776143"/>
    <w:rsid w:val="00776D1C"/>
    <w:rsid w:val="0078158B"/>
    <w:rsid w:val="007937F7"/>
    <w:rsid w:val="00793828"/>
    <w:rsid w:val="007940F0"/>
    <w:rsid w:val="007962A5"/>
    <w:rsid w:val="007A1D44"/>
    <w:rsid w:val="007A2972"/>
    <w:rsid w:val="007A5A44"/>
    <w:rsid w:val="007B1308"/>
    <w:rsid w:val="007B2F8F"/>
    <w:rsid w:val="007D1636"/>
    <w:rsid w:val="007D199D"/>
    <w:rsid w:val="007D2D36"/>
    <w:rsid w:val="007D327A"/>
    <w:rsid w:val="007D5FA7"/>
    <w:rsid w:val="007D6497"/>
    <w:rsid w:val="007E1351"/>
    <w:rsid w:val="007E22E4"/>
    <w:rsid w:val="007E3EF5"/>
    <w:rsid w:val="007E40F3"/>
    <w:rsid w:val="007E6779"/>
    <w:rsid w:val="007E75D3"/>
    <w:rsid w:val="007F3181"/>
    <w:rsid w:val="007F326C"/>
    <w:rsid w:val="007F6061"/>
    <w:rsid w:val="007F68A5"/>
    <w:rsid w:val="007F7285"/>
    <w:rsid w:val="008029E5"/>
    <w:rsid w:val="00803BBA"/>
    <w:rsid w:val="00810D90"/>
    <w:rsid w:val="00813B34"/>
    <w:rsid w:val="0081407A"/>
    <w:rsid w:val="00815CC0"/>
    <w:rsid w:val="00817D90"/>
    <w:rsid w:val="00824EF7"/>
    <w:rsid w:val="008340E0"/>
    <w:rsid w:val="00835CD6"/>
    <w:rsid w:val="00835FA3"/>
    <w:rsid w:val="00841734"/>
    <w:rsid w:val="0084561A"/>
    <w:rsid w:val="00846395"/>
    <w:rsid w:val="008466CB"/>
    <w:rsid w:val="008512AB"/>
    <w:rsid w:val="00851779"/>
    <w:rsid w:val="0085212E"/>
    <w:rsid w:val="008529F2"/>
    <w:rsid w:val="0085451D"/>
    <w:rsid w:val="008565A9"/>
    <w:rsid w:val="008656C6"/>
    <w:rsid w:val="00865EA7"/>
    <w:rsid w:val="00875197"/>
    <w:rsid w:val="00875C9C"/>
    <w:rsid w:val="00876F9E"/>
    <w:rsid w:val="008808CD"/>
    <w:rsid w:val="00881230"/>
    <w:rsid w:val="0088199F"/>
    <w:rsid w:val="00883E49"/>
    <w:rsid w:val="0088463B"/>
    <w:rsid w:val="008847FA"/>
    <w:rsid w:val="00885126"/>
    <w:rsid w:val="00885FA8"/>
    <w:rsid w:val="00887EC0"/>
    <w:rsid w:val="00891865"/>
    <w:rsid w:val="00895135"/>
    <w:rsid w:val="00895F00"/>
    <w:rsid w:val="008A1A8A"/>
    <w:rsid w:val="008A36FB"/>
    <w:rsid w:val="008A3AA1"/>
    <w:rsid w:val="008A53A9"/>
    <w:rsid w:val="008B00B6"/>
    <w:rsid w:val="008B2B99"/>
    <w:rsid w:val="008B596C"/>
    <w:rsid w:val="008C3885"/>
    <w:rsid w:val="008C7D49"/>
    <w:rsid w:val="008D68D8"/>
    <w:rsid w:val="008E3AD6"/>
    <w:rsid w:val="008E6226"/>
    <w:rsid w:val="008E646E"/>
    <w:rsid w:val="008E6BAC"/>
    <w:rsid w:val="008E730A"/>
    <w:rsid w:val="008F1112"/>
    <w:rsid w:val="008F193F"/>
    <w:rsid w:val="008F456E"/>
    <w:rsid w:val="008F4642"/>
    <w:rsid w:val="008F75B7"/>
    <w:rsid w:val="00903CCB"/>
    <w:rsid w:val="00905A38"/>
    <w:rsid w:val="00905DEB"/>
    <w:rsid w:val="00906F29"/>
    <w:rsid w:val="009073A5"/>
    <w:rsid w:val="00911A22"/>
    <w:rsid w:val="00913076"/>
    <w:rsid w:val="00915AA8"/>
    <w:rsid w:val="00923DB3"/>
    <w:rsid w:val="0092452B"/>
    <w:rsid w:val="00927162"/>
    <w:rsid w:val="009311B0"/>
    <w:rsid w:val="00933334"/>
    <w:rsid w:val="00933B39"/>
    <w:rsid w:val="00935437"/>
    <w:rsid w:val="00935490"/>
    <w:rsid w:val="009369DE"/>
    <w:rsid w:val="009400F2"/>
    <w:rsid w:val="009477EC"/>
    <w:rsid w:val="00951A50"/>
    <w:rsid w:val="009534FF"/>
    <w:rsid w:val="00954F0B"/>
    <w:rsid w:val="0095568A"/>
    <w:rsid w:val="00960124"/>
    <w:rsid w:val="009608C3"/>
    <w:rsid w:val="00962FC1"/>
    <w:rsid w:val="00963340"/>
    <w:rsid w:val="00963F2B"/>
    <w:rsid w:val="00964487"/>
    <w:rsid w:val="00965330"/>
    <w:rsid w:val="00966246"/>
    <w:rsid w:val="009674B6"/>
    <w:rsid w:val="0097196D"/>
    <w:rsid w:val="00974434"/>
    <w:rsid w:val="00977336"/>
    <w:rsid w:val="009811EE"/>
    <w:rsid w:val="009836E7"/>
    <w:rsid w:val="00995755"/>
    <w:rsid w:val="00996BC1"/>
    <w:rsid w:val="009973E2"/>
    <w:rsid w:val="009A08F8"/>
    <w:rsid w:val="009A1B30"/>
    <w:rsid w:val="009A5EE0"/>
    <w:rsid w:val="009B0A8E"/>
    <w:rsid w:val="009B2177"/>
    <w:rsid w:val="009C0661"/>
    <w:rsid w:val="009C0E16"/>
    <w:rsid w:val="009C32A8"/>
    <w:rsid w:val="009C3B41"/>
    <w:rsid w:val="009C459B"/>
    <w:rsid w:val="009C5F93"/>
    <w:rsid w:val="009C6D2A"/>
    <w:rsid w:val="009D28A4"/>
    <w:rsid w:val="009D4E97"/>
    <w:rsid w:val="009E14BF"/>
    <w:rsid w:val="009E15D9"/>
    <w:rsid w:val="009E2A92"/>
    <w:rsid w:val="009E4A16"/>
    <w:rsid w:val="009F296C"/>
    <w:rsid w:val="009F3BB2"/>
    <w:rsid w:val="009F58B2"/>
    <w:rsid w:val="009F634D"/>
    <w:rsid w:val="009F6E6C"/>
    <w:rsid w:val="009F731A"/>
    <w:rsid w:val="009F7FED"/>
    <w:rsid w:val="00A00914"/>
    <w:rsid w:val="00A00949"/>
    <w:rsid w:val="00A02E14"/>
    <w:rsid w:val="00A06243"/>
    <w:rsid w:val="00A0691F"/>
    <w:rsid w:val="00A07295"/>
    <w:rsid w:val="00A10EDB"/>
    <w:rsid w:val="00A14412"/>
    <w:rsid w:val="00A15361"/>
    <w:rsid w:val="00A1687F"/>
    <w:rsid w:val="00A20146"/>
    <w:rsid w:val="00A20BFF"/>
    <w:rsid w:val="00A2139F"/>
    <w:rsid w:val="00A22B37"/>
    <w:rsid w:val="00A23D01"/>
    <w:rsid w:val="00A245C3"/>
    <w:rsid w:val="00A246F1"/>
    <w:rsid w:val="00A2567B"/>
    <w:rsid w:val="00A320A9"/>
    <w:rsid w:val="00A333F9"/>
    <w:rsid w:val="00A415A9"/>
    <w:rsid w:val="00A43A99"/>
    <w:rsid w:val="00A44332"/>
    <w:rsid w:val="00A44C8B"/>
    <w:rsid w:val="00A45A88"/>
    <w:rsid w:val="00A45F22"/>
    <w:rsid w:val="00A507DC"/>
    <w:rsid w:val="00A54204"/>
    <w:rsid w:val="00A60EBD"/>
    <w:rsid w:val="00A61F98"/>
    <w:rsid w:val="00A62526"/>
    <w:rsid w:val="00A626D2"/>
    <w:rsid w:val="00A630F7"/>
    <w:rsid w:val="00A63494"/>
    <w:rsid w:val="00A70655"/>
    <w:rsid w:val="00A71281"/>
    <w:rsid w:val="00A73B36"/>
    <w:rsid w:val="00A73E32"/>
    <w:rsid w:val="00A73E82"/>
    <w:rsid w:val="00A75FB2"/>
    <w:rsid w:val="00A761F3"/>
    <w:rsid w:val="00A7711F"/>
    <w:rsid w:val="00A80F9F"/>
    <w:rsid w:val="00A824A1"/>
    <w:rsid w:val="00A94670"/>
    <w:rsid w:val="00A95506"/>
    <w:rsid w:val="00A97052"/>
    <w:rsid w:val="00AA0938"/>
    <w:rsid w:val="00AA1F1C"/>
    <w:rsid w:val="00AA7B5A"/>
    <w:rsid w:val="00AB0B0A"/>
    <w:rsid w:val="00AB5F09"/>
    <w:rsid w:val="00AC2151"/>
    <w:rsid w:val="00AC5B0E"/>
    <w:rsid w:val="00AD14D0"/>
    <w:rsid w:val="00AD1E28"/>
    <w:rsid w:val="00AD75AC"/>
    <w:rsid w:val="00AD766A"/>
    <w:rsid w:val="00AE089E"/>
    <w:rsid w:val="00AE6A4B"/>
    <w:rsid w:val="00AE7EF3"/>
    <w:rsid w:val="00AF22F4"/>
    <w:rsid w:val="00AF6607"/>
    <w:rsid w:val="00AF6A39"/>
    <w:rsid w:val="00B04C2D"/>
    <w:rsid w:val="00B063A6"/>
    <w:rsid w:val="00B07B2A"/>
    <w:rsid w:val="00B1189A"/>
    <w:rsid w:val="00B126A5"/>
    <w:rsid w:val="00B201D7"/>
    <w:rsid w:val="00B2193A"/>
    <w:rsid w:val="00B22BCA"/>
    <w:rsid w:val="00B303C4"/>
    <w:rsid w:val="00B305CC"/>
    <w:rsid w:val="00B353B7"/>
    <w:rsid w:val="00B3596C"/>
    <w:rsid w:val="00B40A70"/>
    <w:rsid w:val="00B416AA"/>
    <w:rsid w:val="00B478A7"/>
    <w:rsid w:val="00B518B0"/>
    <w:rsid w:val="00B52AC9"/>
    <w:rsid w:val="00B64E9F"/>
    <w:rsid w:val="00B65E68"/>
    <w:rsid w:val="00B67A3C"/>
    <w:rsid w:val="00B67B33"/>
    <w:rsid w:val="00B71824"/>
    <w:rsid w:val="00B73CC5"/>
    <w:rsid w:val="00B74753"/>
    <w:rsid w:val="00B77C48"/>
    <w:rsid w:val="00B82392"/>
    <w:rsid w:val="00B835DF"/>
    <w:rsid w:val="00BA1A6B"/>
    <w:rsid w:val="00BA442A"/>
    <w:rsid w:val="00BA4763"/>
    <w:rsid w:val="00BA5933"/>
    <w:rsid w:val="00BC26F1"/>
    <w:rsid w:val="00BC5E4C"/>
    <w:rsid w:val="00BC70A1"/>
    <w:rsid w:val="00BD11F5"/>
    <w:rsid w:val="00BD1A93"/>
    <w:rsid w:val="00BD1CE5"/>
    <w:rsid w:val="00BD5298"/>
    <w:rsid w:val="00BD5CB3"/>
    <w:rsid w:val="00BD679C"/>
    <w:rsid w:val="00BE06DE"/>
    <w:rsid w:val="00BE2036"/>
    <w:rsid w:val="00BE6637"/>
    <w:rsid w:val="00BE768A"/>
    <w:rsid w:val="00BE7B14"/>
    <w:rsid w:val="00BF187B"/>
    <w:rsid w:val="00BF1AFB"/>
    <w:rsid w:val="00BF2868"/>
    <w:rsid w:val="00BF6BEB"/>
    <w:rsid w:val="00BF77D5"/>
    <w:rsid w:val="00C00B99"/>
    <w:rsid w:val="00C026A9"/>
    <w:rsid w:val="00C04AB3"/>
    <w:rsid w:val="00C05B5A"/>
    <w:rsid w:val="00C102E0"/>
    <w:rsid w:val="00C10F7C"/>
    <w:rsid w:val="00C163AD"/>
    <w:rsid w:val="00C1787D"/>
    <w:rsid w:val="00C213CD"/>
    <w:rsid w:val="00C22727"/>
    <w:rsid w:val="00C2484A"/>
    <w:rsid w:val="00C330D1"/>
    <w:rsid w:val="00C3332D"/>
    <w:rsid w:val="00C36096"/>
    <w:rsid w:val="00C371F3"/>
    <w:rsid w:val="00C41177"/>
    <w:rsid w:val="00C424F6"/>
    <w:rsid w:val="00C431CD"/>
    <w:rsid w:val="00C44C26"/>
    <w:rsid w:val="00C45481"/>
    <w:rsid w:val="00C45ABE"/>
    <w:rsid w:val="00C47442"/>
    <w:rsid w:val="00C51DCB"/>
    <w:rsid w:val="00C55ED3"/>
    <w:rsid w:val="00C579D2"/>
    <w:rsid w:val="00C6181F"/>
    <w:rsid w:val="00C6467E"/>
    <w:rsid w:val="00C65976"/>
    <w:rsid w:val="00C660E2"/>
    <w:rsid w:val="00C70846"/>
    <w:rsid w:val="00C748CD"/>
    <w:rsid w:val="00C74E87"/>
    <w:rsid w:val="00C805B3"/>
    <w:rsid w:val="00C8185E"/>
    <w:rsid w:val="00C81CFD"/>
    <w:rsid w:val="00C84464"/>
    <w:rsid w:val="00C86E29"/>
    <w:rsid w:val="00C904E0"/>
    <w:rsid w:val="00C9089D"/>
    <w:rsid w:val="00C95425"/>
    <w:rsid w:val="00C95F6B"/>
    <w:rsid w:val="00C973D1"/>
    <w:rsid w:val="00C97DE2"/>
    <w:rsid w:val="00CA2DC8"/>
    <w:rsid w:val="00CA3BBD"/>
    <w:rsid w:val="00CA607C"/>
    <w:rsid w:val="00CA769F"/>
    <w:rsid w:val="00CA7AA3"/>
    <w:rsid w:val="00CB1376"/>
    <w:rsid w:val="00CB2742"/>
    <w:rsid w:val="00CB4035"/>
    <w:rsid w:val="00CB42A2"/>
    <w:rsid w:val="00CB44B6"/>
    <w:rsid w:val="00CB5E7D"/>
    <w:rsid w:val="00CB6296"/>
    <w:rsid w:val="00CB74B8"/>
    <w:rsid w:val="00CC01F2"/>
    <w:rsid w:val="00CD294E"/>
    <w:rsid w:val="00CD340E"/>
    <w:rsid w:val="00CD4E5C"/>
    <w:rsid w:val="00CD5074"/>
    <w:rsid w:val="00CD764B"/>
    <w:rsid w:val="00CD7783"/>
    <w:rsid w:val="00CE1F7B"/>
    <w:rsid w:val="00CE2F1A"/>
    <w:rsid w:val="00CE3779"/>
    <w:rsid w:val="00CE3A2C"/>
    <w:rsid w:val="00CF236A"/>
    <w:rsid w:val="00CF3623"/>
    <w:rsid w:val="00CF47EA"/>
    <w:rsid w:val="00CF5612"/>
    <w:rsid w:val="00D005B3"/>
    <w:rsid w:val="00D009D0"/>
    <w:rsid w:val="00D06E32"/>
    <w:rsid w:val="00D13212"/>
    <w:rsid w:val="00D2492F"/>
    <w:rsid w:val="00D31C52"/>
    <w:rsid w:val="00D4263F"/>
    <w:rsid w:val="00D42D13"/>
    <w:rsid w:val="00D47618"/>
    <w:rsid w:val="00D51A4C"/>
    <w:rsid w:val="00D52F9C"/>
    <w:rsid w:val="00D55EF1"/>
    <w:rsid w:val="00D57497"/>
    <w:rsid w:val="00D57E9F"/>
    <w:rsid w:val="00D60D2B"/>
    <w:rsid w:val="00D62399"/>
    <w:rsid w:val="00D62B96"/>
    <w:rsid w:val="00D63207"/>
    <w:rsid w:val="00D6486E"/>
    <w:rsid w:val="00D662D6"/>
    <w:rsid w:val="00D70ABC"/>
    <w:rsid w:val="00D7665F"/>
    <w:rsid w:val="00D831C4"/>
    <w:rsid w:val="00D8571C"/>
    <w:rsid w:val="00D85B45"/>
    <w:rsid w:val="00D866DC"/>
    <w:rsid w:val="00D91A44"/>
    <w:rsid w:val="00D93C4F"/>
    <w:rsid w:val="00D942DB"/>
    <w:rsid w:val="00DA1EBC"/>
    <w:rsid w:val="00DA5286"/>
    <w:rsid w:val="00DB1966"/>
    <w:rsid w:val="00DB49C1"/>
    <w:rsid w:val="00DB4B22"/>
    <w:rsid w:val="00DB5B6D"/>
    <w:rsid w:val="00DC0519"/>
    <w:rsid w:val="00DC7DCC"/>
    <w:rsid w:val="00DD0F60"/>
    <w:rsid w:val="00DD1589"/>
    <w:rsid w:val="00DD3038"/>
    <w:rsid w:val="00DD3886"/>
    <w:rsid w:val="00DD440A"/>
    <w:rsid w:val="00DD7FA8"/>
    <w:rsid w:val="00DE261F"/>
    <w:rsid w:val="00DE29AB"/>
    <w:rsid w:val="00DE369D"/>
    <w:rsid w:val="00DE537B"/>
    <w:rsid w:val="00DE7C76"/>
    <w:rsid w:val="00DF0804"/>
    <w:rsid w:val="00DF2418"/>
    <w:rsid w:val="00DF5190"/>
    <w:rsid w:val="00E01542"/>
    <w:rsid w:val="00E02740"/>
    <w:rsid w:val="00E0387B"/>
    <w:rsid w:val="00E105CB"/>
    <w:rsid w:val="00E1185F"/>
    <w:rsid w:val="00E15B40"/>
    <w:rsid w:val="00E22563"/>
    <w:rsid w:val="00E251F6"/>
    <w:rsid w:val="00E26A70"/>
    <w:rsid w:val="00E32406"/>
    <w:rsid w:val="00E33825"/>
    <w:rsid w:val="00E34441"/>
    <w:rsid w:val="00E36BD1"/>
    <w:rsid w:val="00E40459"/>
    <w:rsid w:val="00E4168E"/>
    <w:rsid w:val="00E44621"/>
    <w:rsid w:val="00E45B03"/>
    <w:rsid w:val="00E51CFF"/>
    <w:rsid w:val="00E527C0"/>
    <w:rsid w:val="00E56D23"/>
    <w:rsid w:val="00E66F27"/>
    <w:rsid w:val="00E67D92"/>
    <w:rsid w:val="00E72DC8"/>
    <w:rsid w:val="00E755E9"/>
    <w:rsid w:val="00E76576"/>
    <w:rsid w:val="00E76A00"/>
    <w:rsid w:val="00E7798E"/>
    <w:rsid w:val="00E77BB6"/>
    <w:rsid w:val="00E82F22"/>
    <w:rsid w:val="00E83B20"/>
    <w:rsid w:val="00E90891"/>
    <w:rsid w:val="00E94682"/>
    <w:rsid w:val="00EA27CA"/>
    <w:rsid w:val="00EA3223"/>
    <w:rsid w:val="00EA532E"/>
    <w:rsid w:val="00EA5D8B"/>
    <w:rsid w:val="00EA704C"/>
    <w:rsid w:val="00EA7C0B"/>
    <w:rsid w:val="00EB0BDE"/>
    <w:rsid w:val="00EB3402"/>
    <w:rsid w:val="00EB573A"/>
    <w:rsid w:val="00EB576B"/>
    <w:rsid w:val="00EC1565"/>
    <w:rsid w:val="00EC4491"/>
    <w:rsid w:val="00EC6546"/>
    <w:rsid w:val="00EC76C8"/>
    <w:rsid w:val="00ED17CC"/>
    <w:rsid w:val="00ED2C15"/>
    <w:rsid w:val="00ED5466"/>
    <w:rsid w:val="00ED557E"/>
    <w:rsid w:val="00ED57E2"/>
    <w:rsid w:val="00ED7566"/>
    <w:rsid w:val="00ED79D9"/>
    <w:rsid w:val="00EE34DC"/>
    <w:rsid w:val="00EF0401"/>
    <w:rsid w:val="00EF0512"/>
    <w:rsid w:val="00EF0E0A"/>
    <w:rsid w:val="00EF1B35"/>
    <w:rsid w:val="00EF2C8F"/>
    <w:rsid w:val="00EF5E0B"/>
    <w:rsid w:val="00EF6B1F"/>
    <w:rsid w:val="00EF6EB4"/>
    <w:rsid w:val="00F02C20"/>
    <w:rsid w:val="00F049CA"/>
    <w:rsid w:val="00F0733A"/>
    <w:rsid w:val="00F15948"/>
    <w:rsid w:val="00F15E39"/>
    <w:rsid w:val="00F17ACF"/>
    <w:rsid w:val="00F25A17"/>
    <w:rsid w:val="00F27291"/>
    <w:rsid w:val="00F27546"/>
    <w:rsid w:val="00F31878"/>
    <w:rsid w:val="00F3240F"/>
    <w:rsid w:val="00F35D95"/>
    <w:rsid w:val="00F44867"/>
    <w:rsid w:val="00F47A5D"/>
    <w:rsid w:val="00F50990"/>
    <w:rsid w:val="00F51FE4"/>
    <w:rsid w:val="00F528BF"/>
    <w:rsid w:val="00F55EFB"/>
    <w:rsid w:val="00F56365"/>
    <w:rsid w:val="00F619F3"/>
    <w:rsid w:val="00F61EC4"/>
    <w:rsid w:val="00F633CE"/>
    <w:rsid w:val="00F63EED"/>
    <w:rsid w:val="00F65AE0"/>
    <w:rsid w:val="00F666A2"/>
    <w:rsid w:val="00F67462"/>
    <w:rsid w:val="00F67E7A"/>
    <w:rsid w:val="00F7799E"/>
    <w:rsid w:val="00F805E2"/>
    <w:rsid w:val="00F812D0"/>
    <w:rsid w:val="00F86534"/>
    <w:rsid w:val="00F90E2C"/>
    <w:rsid w:val="00F90F7F"/>
    <w:rsid w:val="00F91026"/>
    <w:rsid w:val="00F91D05"/>
    <w:rsid w:val="00F91F79"/>
    <w:rsid w:val="00F932D0"/>
    <w:rsid w:val="00F93B38"/>
    <w:rsid w:val="00F960A8"/>
    <w:rsid w:val="00FA0903"/>
    <w:rsid w:val="00FA1F0E"/>
    <w:rsid w:val="00FA2BFC"/>
    <w:rsid w:val="00FA3F68"/>
    <w:rsid w:val="00FA6EFA"/>
    <w:rsid w:val="00FA783C"/>
    <w:rsid w:val="00FB0B13"/>
    <w:rsid w:val="00FB11AE"/>
    <w:rsid w:val="00FB13B5"/>
    <w:rsid w:val="00FB14BF"/>
    <w:rsid w:val="00FB179C"/>
    <w:rsid w:val="00FB35F2"/>
    <w:rsid w:val="00FB60A4"/>
    <w:rsid w:val="00FB682E"/>
    <w:rsid w:val="00FB7A7B"/>
    <w:rsid w:val="00FC0398"/>
    <w:rsid w:val="00FC09A7"/>
    <w:rsid w:val="00FC0E8F"/>
    <w:rsid w:val="00FC10FF"/>
    <w:rsid w:val="00FC2BF5"/>
    <w:rsid w:val="00FC3B62"/>
    <w:rsid w:val="00FE6A70"/>
    <w:rsid w:val="00FF003E"/>
    <w:rsid w:val="00FF0264"/>
    <w:rsid w:val="00FF3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0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22"/>
    <w:pPr>
      <w:ind w:left="720"/>
      <w:contextualSpacing/>
    </w:pPr>
  </w:style>
  <w:style w:type="paragraph" w:styleId="BalloonText">
    <w:name w:val="Balloon Text"/>
    <w:basedOn w:val="Normal"/>
    <w:link w:val="BalloonTextChar"/>
    <w:rsid w:val="006037BB"/>
    <w:rPr>
      <w:rFonts w:ascii="Tahoma" w:hAnsi="Tahoma" w:cs="Tahoma"/>
      <w:sz w:val="16"/>
      <w:szCs w:val="16"/>
    </w:rPr>
  </w:style>
  <w:style w:type="character" w:customStyle="1" w:styleId="BalloonTextChar">
    <w:name w:val="Balloon Text Char"/>
    <w:basedOn w:val="DefaultParagraphFont"/>
    <w:link w:val="BalloonText"/>
    <w:rsid w:val="006037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272625">
      <w:bodyDiv w:val="1"/>
      <w:marLeft w:val="0"/>
      <w:marRight w:val="0"/>
      <w:marTop w:val="0"/>
      <w:marBottom w:val="0"/>
      <w:divBdr>
        <w:top w:val="none" w:sz="0" w:space="0" w:color="auto"/>
        <w:left w:val="none" w:sz="0" w:space="0" w:color="auto"/>
        <w:bottom w:val="none" w:sz="0" w:space="0" w:color="auto"/>
        <w:right w:val="none" w:sz="0" w:space="0" w:color="auto"/>
      </w:divBdr>
    </w:div>
    <w:div w:id="413550266">
      <w:bodyDiv w:val="1"/>
      <w:marLeft w:val="0"/>
      <w:marRight w:val="0"/>
      <w:marTop w:val="0"/>
      <w:marBottom w:val="0"/>
      <w:divBdr>
        <w:top w:val="none" w:sz="0" w:space="0" w:color="auto"/>
        <w:left w:val="none" w:sz="0" w:space="0" w:color="auto"/>
        <w:bottom w:val="none" w:sz="0" w:space="0" w:color="auto"/>
        <w:right w:val="none" w:sz="0" w:space="0" w:color="auto"/>
      </w:divBdr>
    </w:div>
    <w:div w:id="980815696">
      <w:bodyDiv w:val="1"/>
      <w:marLeft w:val="0"/>
      <w:marRight w:val="0"/>
      <w:marTop w:val="0"/>
      <w:marBottom w:val="0"/>
      <w:divBdr>
        <w:top w:val="none" w:sz="0" w:space="0" w:color="auto"/>
        <w:left w:val="none" w:sz="0" w:space="0" w:color="auto"/>
        <w:bottom w:val="none" w:sz="0" w:space="0" w:color="auto"/>
        <w:right w:val="none" w:sz="0" w:space="0" w:color="auto"/>
      </w:divBdr>
    </w:div>
    <w:div w:id="1193955806">
      <w:bodyDiv w:val="1"/>
      <w:marLeft w:val="0"/>
      <w:marRight w:val="0"/>
      <w:marTop w:val="0"/>
      <w:marBottom w:val="0"/>
      <w:divBdr>
        <w:top w:val="none" w:sz="0" w:space="0" w:color="auto"/>
        <w:left w:val="none" w:sz="0" w:space="0" w:color="auto"/>
        <w:bottom w:val="none" w:sz="0" w:space="0" w:color="auto"/>
        <w:right w:val="none" w:sz="0" w:space="0" w:color="auto"/>
      </w:divBdr>
    </w:div>
    <w:div w:id="1898324119">
      <w:bodyDiv w:val="1"/>
      <w:marLeft w:val="0"/>
      <w:marRight w:val="0"/>
      <w:marTop w:val="0"/>
      <w:marBottom w:val="0"/>
      <w:divBdr>
        <w:top w:val="none" w:sz="0" w:space="0" w:color="auto"/>
        <w:left w:val="none" w:sz="0" w:space="0" w:color="auto"/>
        <w:bottom w:val="none" w:sz="0" w:space="0" w:color="auto"/>
        <w:right w:val="none" w:sz="0" w:space="0" w:color="auto"/>
      </w:divBdr>
    </w:div>
    <w:div w:id="197899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ustomXml" Target="../customXml/item3.xml"/><Relationship Id="rId5" Type="http://schemas.openxmlformats.org/officeDocument/2006/relationships/chart" Target="charts/chart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litchfor\Desktop\Racquetball%20Court%20Energy%20Analysis\Racquetball%20Court%20Energy%20Analysis%20Repo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litchfor\Desktop\Racquetball%20Court%20Energy%20Analysis\Racquetball%20Court%20Energy%20Analysis%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5"/>
  <c:chart>
    <c:title>
      <c:tx>
        <c:rich>
          <a:bodyPr/>
          <a:lstStyle/>
          <a:p>
            <a:pPr>
              <a:defRPr/>
            </a:pPr>
            <a:r>
              <a:rPr lang="en-US"/>
              <a:t>Daily 3 phase average amps</a:t>
            </a:r>
          </a:p>
        </c:rich>
      </c:tx>
    </c:title>
    <c:plotArea>
      <c:layout/>
      <c:barChart>
        <c:barDir val="col"/>
        <c:grouping val="clustered"/>
        <c:ser>
          <c:idx val="0"/>
          <c:order val="0"/>
          <c:tx>
            <c:v>Daily 3 phase average</c:v>
          </c:tx>
          <c:cat>
            <c:numRef>
              <c:f>Sheet1!$A$6:$A$128</c:f>
              <c:numCache>
                <c:formatCode>m/d/yyyy</c:formatCode>
                <c:ptCount val="123"/>
                <c:pt idx="0">
                  <c:v>40028</c:v>
                </c:pt>
                <c:pt idx="1">
                  <c:v>40029</c:v>
                </c:pt>
                <c:pt idx="2">
                  <c:v>40030</c:v>
                </c:pt>
                <c:pt idx="3">
                  <c:v>40031</c:v>
                </c:pt>
                <c:pt idx="4">
                  <c:v>40032</c:v>
                </c:pt>
                <c:pt idx="5">
                  <c:v>40033</c:v>
                </c:pt>
                <c:pt idx="6">
                  <c:v>40034</c:v>
                </c:pt>
                <c:pt idx="7">
                  <c:v>40035</c:v>
                </c:pt>
                <c:pt idx="8">
                  <c:v>40036</c:v>
                </c:pt>
                <c:pt idx="9">
                  <c:v>40037</c:v>
                </c:pt>
                <c:pt idx="10">
                  <c:v>40038</c:v>
                </c:pt>
                <c:pt idx="11">
                  <c:v>40039</c:v>
                </c:pt>
                <c:pt idx="12">
                  <c:v>40040</c:v>
                </c:pt>
                <c:pt idx="13">
                  <c:v>40041</c:v>
                </c:pt>
                <c:pt idx="14">
                  <c:v>40042</c:v>
                </c:pt>
                <c:pt idx="15">
                  <c:v>40043</c:v>
                </c:pt>
                <c:pt idx="16">
                  <c:v>40044</c:v>
                </c:pt>
                <c:pt idx="17">
                  <c:v>40045</c:v>
                </c:pt>
                <c:pt idx="18">
                  <c:v>40046</c:v>
                </c:pt>
                <c:pt idx="19">
                  <c:v>40047</c:v>
                </c:pt>
                <c:pt idx="20">
                  <c:v>40048</c:v>
                </c:pt>
                <c:pt idx="21">
                  <c:v>40049</c:v>
                </c:pt>
                <c:pt idx="22">
                  <c:v>40050</c:v>
                </c:pt>
                <c:pt idx="23">
                  <c:v>40051</c:v>
                </c:pt>
                <c:pt idx="24">
                  <c:v>40052</c:v>
                </c:pt>
                <c:pt idx="25">
                  <c:v>40053</c:v>
                </c:pt>
                <c:pt idx="26">
                  <c:v>40054</c:v>
                </c:pt>
                <c:pt idx="27">
                  <c:v>40055</c:v>
                </c:pt>
                <c:pt idx="28">
                  <c:v>40056</c:v>
                </c:pt>
                <c:pt idx="29">
                  <c:v>40057</c:v>
                </c:pt>
                <c:pt idx="30">
                  <c:v>40058</c:v>
                </c:pt>
                <c:pt idx="31">
                  <c:v>40059</c:v>
                </c:pt>
                <c:pt idx="32">
                  <c:v>40060</c:v>
                </c:pt>
                <c:pt idx="33">
                  <c:v>40061</c:v>
                </c:pt>
                <c:pt idx="34">
                  <c:v>40062</c:v>
                </c:pt>
                <c:pt idx="35">
                  <c:v>40063</c:v>
                </c:pt>
                <c:pt idx="36">
                  <c:v>40064</c:v>
                </c:pt>
                <c:pt idx="37">
                  <c:v>40065</c:v>
                </c:pt>
                <c:pt idx="38">
                  <c:v>40066</c:v>
                </c:pt>
                <c:pt idx="39">
                  <c:v>40067</c:v>
                </c:pt>
                <c:pt idx="40">
                  <c:v>40068</c:v>
                </c:pt>
                <c:pt idx="41">
                  <c:v>40069</c:v>
                </c:pt>
                <c:pt idx="42">
                  <c:v>40070</c:v>
                </c:pt>
                <c:pt idx="43">
                  <c:v>40071</c:v>
                </c:pt>
                <c:pt idx="44">
                  <c:v>40072</c:v>
                </c:pt>
                <c:pt idx="45">
                  <c:v>40073</c:v>
                </c:pt>
                <c:pt idx="46">
                  <c:v>40074</c:v>
                </c:pt>
                <c:pt idx="47">
                  <c:v>40075</c:v>
                </c:pt>
                <c:pt idx="48">
                  <c:v>40076</c:v>
                </c:pt>
                <c:pt idx="49">
                  <c:v>40077</c:v>
                </c:pt>
                <c:pt idx="50">
                  <c:v>40078</c:v>
                </c:pt>
                <c:pt idx="51">
                  <c:v>40079</c:v>
                </c:pt>
                <c:pt idx="52">
                  <c:v>40080</c:v>
                </c:pt>
                <c:pt idx="53">
                  <c:v>40081</c:v>
                </c:pt>
                <c:pt idx="54">
                  <c:v>40082</c:v>
                </c:pt>
                <c:pt idx="55">
                  <c:v>40083</c:v>
                </c:pt>
                <c:pt idx="56">
                  <c:v>40084</c:v>
                </c:pt>
                <c:pt idx="57">
                  <c:v>40085</c:v>
                </c:pt>
                <c:pt idx="58">
                  <c:v>40086</c:v>
                </c:pt>
                <c:pt idx="59">
                  <c:v>40087</c:v>
                </c:pt>
                <c:pt idx="60">
                  <c:v>40088</c:v>
                </c:pt>
                <c:pt idx="61">
                  <c:v>40089</c:v>
                </c:pt>
                <c:pt idx="62">
                  <c:v>40090</c:v>
                </c:pt>
                <c:pt idx="63">
                  <c:v>40091</c:v>
                </c:pt>
                <c:pt idx="64">
                  <c:v>40092</c:v>
                </c:pt>
                <c:pt idx="65">
                  <c:v>40093</c:v>
                </c:pt>
                <c:pt idx="66">
                  <c:v>40094</c:v>
                </c:pt>
                <c:pt idx="67">
                  <c:v>40095</c:v>
                </c:pt>
                <c:pt idx="68">
                  <c:v>40096</c:v>
                </c:pt>
                <c:pt idx="69">
                  <c:v>40097</c:v>
                </c:pt>
                <c:pt idx="70">
                  <c:v>40098</c:v>
                </c:pt>
                <c:pt idx="71">
                  <c:v>40099</c:v>
                </c:pt>
                <c:pt idx="72">
                  <c:v>40100</c:v>
                </c:pt>
                <c:pt idx="73">
                  <c:v>40101</c:v>
                </c:pt>
                <c:pt idx="74">
                  <c:v>40102</c:v>
                </c:pt>
                <c:pt idx="75">
                  <c:v>40103</c:v>
                </c:pt>
                <c:pt idx="76">
                  <c:v>40104</c:v>
                </c:pt>
                <c:pt idx="77">
                  <c:v>40105</c:v>
                </c:pt>
                <c:pt idx="78">
                  <c:v>40106</c:v>
                </c:pt>
                <c:pt idx="79">
                  <c:v>40107</c:v>
                </c:pt>
                <c:pt idx="80">
                  <c:v>40108</c:v>
                </c:pt>
                <c:pt idx="81">
                  <c:v>40109</c:v>
                </c:pt>
                <c:pt idx="82">
                  <c:v>40110</c:v>
                </c:pt>
                <c:pt idx="83">
                  <c:v>40111</c:v>
                </c:pt>
                <c:pt idx="84">
                  <c:v>40112</c:v>
                </c:pt>
                <c:pt idx="85">
                  <c:v>40113</c:v>
                </c:pt>
                <c:pt idx="86">
                  <c:v>40114</c:v>
                </c:pt>
                <c:pt idx="87">
                  <c:v>40115</c:v>
                </c:pt>
                <c:pt idx="88">
                  <c:v>40116</c:v>
                </c:pt>
                <c:pt idx="89">
                  <c:v>40117</c:v>
                </c:pt>
                <c:pt idx="90">
                  <c:v>40118</c:v>
                </c:pt>
                <c:pt idx="91">
                  <c:v>40119</c:v>
                </c:pt>
                <c:pt idx="92">
                  <c:v>40120</c:v>
                </c:pt>
                <c:pt idx="93">
                  <c:v>40121</c:v>
                </c:pt>
                <c:pt idx="94">
                  <c:v>40122</c:v>
                </c:pt>
                <c:pt idx="95">
                  <c:v>40123</c:v>
                </c:pt>
                <c:pt idx="96">
                  <c:v>40124</c:v>
                </c:pt>
                <c:pt idx="97">
                  <c:v>40125</c:v>
                </c:pt>
                <c:pt idx="98">
                  <c:v>40126</c:v>
                </c:pt>
                <c:pt idx="99">
                  <c:v>40127</c:v>
                </c:pt>
                <c:pt idx="100">
                  <c:v>40128</c:v>
                </c:pt>
                <c:pt idx="101">
                  <c:v>40129</c:v>
                </c:pt>
                <c:pt idx="102">
                  <c:v>40130</c:v>
                </c:pt>
                <c:pt idx="103">
                  <c:v>40131</c:v>
                </c:pt>
                <c:pt idx="104">
                  <c:v>40132</c:v>
                </c:pt>
                <c:pt idx="105">
                  <c:v>40133</c:v>
                </c:pt>
                <c:pt idx="106">
                  <c:v>40134</c:v>
                </c:pt>
                <c:pt idx="107">
                  <c:v>40135</c:v>
                </c:pt>
                <c:pt idx="108">
                  <c:v>40136</c:v>
                </c:pt>
                <c:pt idx="109">
                  <c:v>40137</c:v>
                </c:pt>
                <c:pt idx="110">
                  <c:v>40138</c:v>
                </c:pt>
                <c:pt idx="111">
                  <c:v>40139</c:v>
                </c:pt>
                <c:pt idx="112">
                  <c:v>40140</c:v>
                </c:pt>
                <c:pt idx="113">
                  <c:v>40141</c:v>
                </c:pt>
                <c:pt idx="114">
                  <c:v>40142</c:v>
                </c:pt>
                <c:pt idx="115">
                  <c:v>40143</c:v>
                </c:pt>
                <c:pt idx="116">
                  <c:v>40144</c:v>
                </c:pt>
                <c:pt idx="117">
                  <c:v>40145</c:v>
                </c:pt>
                <c:pt idx="118">
                  <c:v>40146</c:v>
                </c:pt>
                <c:pt idx="119">
                  <c:v>40147</c:v>
                </c:pt>
                <c:pt idx="120">
                  <c:v>40148</c:v>
                </c:pt>
                <c:pt idx="121">
                  <c:v>40149</c:v>
                </c:pt>
                <c:pt idx="122">
                  <c:v>40150</c:v>
                </c:pt>
              </c:numCache>
            </c:numRef>
          </c:cat>
          <c:val>
            <c:numRef>
              <c:f>Sheet1!$E$6:$E$128</c:f>
              <c:numCache>
                <c:formatCode>General</c:formatCode>
                <c:ptCount val="123"/>
                <c:pt idx="0">
                  <c:v>32.534413793103425</c:v>
                </c:pt>
                <c:pt idx="1">
                  <c:v>25.762749999999951</c:v>
                </c:pt>
                <c:pt idx="2">
                  <c:v>28.697368055555572</c:v>
                </c:pt>
                <c:pt idx="3">
                  <c:v>26.074229166666658</c:v>
                </c:pt>
                <c:pt idx="4">
                  <c:v>28.92713194444444</c:v>
                </c:pt>
                <c:pt idx="5">
                  <c:v>26.862427083333284</c:v>
                </c:pt>
                <c:pt idx="6">
                  <c:v>15.132152777777771</c:v>
                </c:pt>
                <c:pt idx="7">
                  <c:v>28.885263888888883</c:v>
                </c:pt>
                <c:pt idx="8">
                  <c:v>23.247979166666681</c:v>
                </c:pt>
                <c:pt idx="9">
                  <c:v>25.366388888888867</c:v>
                </c:pt>
                <c:pt idx="10">
                  <c:v>25.376100694444435</c:v>
                </c:pt>
                <c:pt idx="11">
                  <c:v>26.121854166666708</c:v>
                </c:pt>
                <c:pt idx="12">
                  <c:v>23.526503472222199</c:v>
                </c:pt>
                <c:pt idx="13">
                  <c:v>21.655954861111105</c:v>
                </c:pt>
                <c:pt idx="14">
                  <c:v>30.339371527777775</c:v>
                </c:pt>
                <c:pt idx="15">
                  <c:v>40.064416666666602</c:v>
                </c:pt>
                <c:pt idx="16">
                  <c:v>37.27532291666666</c:v>
                </c:pt>
                <c:pt idx="17">
                  <c:v>29.117149305555543</c:v>
                </c:pt>
                <c:pt idx="18">
                  <c:v>27.380562499999989</c:v>
                </c:pt>
                <c:pt idx="19">
                  <c:v>22.160850694444484</c:v>
                </c:pt>
                <c:pt idx="20">
                  <c:v>32.930864583333232</c:v>
                </c:pt>
                <c:pt idx="21">
                  <c:v>29.481539696969669</c:v>
                </c:pt>
                <c:pt idx="22">
                  <c:v>28.016484953703699</c:v>
                </c:pt>
                <c:pt idx="23">
                  <c:v>30.358437500000012</c:v>
                </c:pt>
                <c:pt idx="24">
                  <c:v>37.13060532407416</c:v>
                </c:pt>
                <c:pt idx="25">
                  <c:v>39.474442129629658</c:v>
                </c:pt>
                <c:pt idx="26">
                  <c:v>17.459118055555567</c:v>
                </c:pt>
                <c:pt idx="27">
                  <c:v>26.298942129629637</c:v>
                </c:pt>
                <c:pt idx="28">
                  <c:v>29.955275462962987</c:v>
                </c:pt>
                <c:pt idx="29">
                  <c:v>31.83721064814819</c:v>
                </c:pt>
                <c:pt idx="30">
                  <c:v>38.247614583333323</c:v>
                </c:pt>
                <c:pt idx="31">
                  <c:v>33.963177083333292</c:v>
                </c:pt>
                <c:pt idx="32">
                  <c:v>24.721209490740787</c:v>
                </c:pt>
                <c:pt idx="33">
                  <c:v>23.818649305555567</c:v>
                </c:pt>
                <c:pt idx="34">
                  <c:v>21.222480324074123</c:v>
                </c:pt>
                <c:pt idx="35">
                  <c:v>22.194528935185186</c:v>
                </c:pt>
                <c:pt idx="36">
                  <c:v>29.007604166666674</c:v>
                </c:pt>
                <c:pt idx="37">
                  <c:v>27.401534722222209</c:v>
                </c:pt>
                <c:pt idx="38">
                  <c:v>27.576331018518491</c:v>
                </c:pt>
                <c:pt idx="39">
                  <c:v>21.088031250000029</c:v>
                </c:pt>
                <c:pt idx="40">
                  <c:v>20.578247685185179</c:v>
                </c:pt>
                <c:pt idx="41">
                  <c:v>20.794126157407408</c:v>
                </c:pt>
                <c:pt idx="42">
                  <c:v>26.6946030092593</c:v>
                </c:pt>
                <c:pt idx="43">
                  <c:v>25.840564814814833</c:v>
                </c:pt>
                <c:pt idx="44">
                  <c:v>28.502692129629626</c:v>
                </c:pt>
                <c:pt idx="45">
                  <c:v>28.190680555555588</c:v>
                </c:pt>
                <c:pt idx="46">
                  <c:v>21.050039351851851</c:v>
                </c:pt>
                <c:pt idx="47">
                  <c:v>17.290400462962982</c:v>
                </c:pt>
                <c:pt idx="48">
                  <c:v>15.460614583333355</c:v>
                </c:pt>
                <c:pt idx="49">
                  <c:v>20.353126157407434</c:v>
                </c:pt>
                <c:pt idx="50">
                  <c:v>19.395206018518532</c:v>
                </c:pt>
                <c:pt idx="51">
                  <c:v>24.002944444444491</c:v>
                </c:pt>
                <c:pt idx="52">
                  <c:v>21.300472222222229</c:v>
                </c:pt>
                <c:pt idx="53">
                  <c:v>21.510173611111096</c:v>
                </c:pt>
                <c:pt idx="54">
                  <c:v>22.470053688141913</c:v>
                </c:pt>
                <c:pt idx="55">
                  <c:v>15.311105324074068</c:v>
                </c:pt>
                <c:pt idx="56">
                  <c:v>17.413762273901778</c:v>
                </c:pt>
                <c:pt idx="57">
                  <c:v>21.407972222222227</c:v>
                </c:pt>
                <c:pt idx="58">
                  <c:v>24.353370370370424</c:v>
                </c:pt>
                <c:pt idx="59">
                  <c:v>23.051815972222261</c:v>
                </c:pt>
                <c:pt idx="60">
                  <c:v>17.620696759259285</c:v>
                </c:pt>
                <c:pt idx="61">
                  <c:v>7.2956574074074005</c:v>
                </c:pt>
                <c:pt idx="62">
                  <c:v>7.8113958333333384</c:v>
                </c:pt>
                <c:pt idx="63">
                  <c:v>8.9392939814814714</c:v>
                </c:pt>
                <c:pt idx="64">
                  <c:v>9.2214722222222196</c:v>
                </c:pt>
                <c:pt idx="65">
                  <c:v>9.9835335648148078</c:v>
                </c:pt>
                <c:pt idx="66">
                  <c:v>10.387733796296304</c:v>
                </c:pt>
                <c:pt idx="67">
                  <c:v>10.062464120370374</c:v>
                </c:pt>
                <c:pt idx="68">
                  <c:v>7.7481620370370354</c:v>
                </c:pt>
                <c:pt idx="69">
                  <c:v>8.695271990740741</c:v>
                </c:pt>
                <c:pt idx="70">
                  <c:v>5.3840983796296271</c:v>
                </c:pt>
                <c:pt idx="71">
                  <c:v>8.6420254629629589</c:v>
                </c:pt>
                <c:pt idx="72">
                  <c:v>8.1439317129629654</c:v>
                </c:pt>
                <c:pt idx="73">
                  <c:v>10.025175925925927</c:v>
                </c:pt>
                <c:pt idx="74">
                  <c:v>10.545162037037048</c:v>
                </c:pt>
                <c:pt idx="75">
                  <c:v>6.8935437710437553</c:v>
                </c:pt>
                <c:pt idx="76">
                  <c:v>6.7089710648148184</c:v>
                </c:pt>
                <c:pt idx="77">
                  <c:v>5.6277604166666677</c:v>
                </c:pt>
                <c:pt idx="78">
                  <c:v>8.082837962962973</c:v>
                </c:pt>
                <c:pt idx="79">
                  <c:v>9.2490844907407403</c:v>
                </c:pt>
                <c:pt idx="80">
                  <c:v>9.2108587962962929</c:v>
                </c:pt>
                <c:pt idx="81">
                  <c:v>10.057805555555554</c:v>
                </c:pt>
                <c:pt idx="82">
                  <c:v>7.9873206018518532</c:v>
                </c:pt>
                <c:pt idx="83">
                  <c:v>8.3828506944444534</c:v>
                </c:pt>
                <c:pt idx="84">
                  <c:v>9.4400173611111065</c:v>
                </c:pt>
                <c:pt idx="85">
                  <c:v>9.8640567129629773</c:v>
                </c:pt>
                <c:pt idx="86">
                  <c:v>5.8269044834307975</c:v>
                </c:pt>
                <c:pt idx="87">
                  <c:v>13.247628571428567</c:v>
                </c:pt>
                <c:pt idx="88">
                  <c:v>10.519824074074075</c:v>
                </c:pt>
                <c:pt idx="89">
                  <c:v>5.9431365740740709</c:v>
                </c:pt>
                <c:pt idx="90">
                  <c:v>8.2488715277777604</c:v>
                </c:pt>
                <c:pt idx="91">
                  <c:v>8.959747685185194</c:v>
                </c:pt>
                <c:pt idx="92">
                  <c:v>9.1713472222222236</c:v>
                </c:pt>
                <c:pt idx="93">
                  <c:v>9.5741249999999987</c:v>
                </c:pt>
                <c:pt idx="94">
                  <c:v>9.6078784722222199</c:v>
                </c:pt>
                <c:pt idx="95">
                  <c:v>9.3638796296296345</c:v>
                </c:pt>
                <c:pt idx="96">
                  <c:v>15.268826388888868</c:v>
                </c:pt>
                <c:pt idx="97">
                  <c:v>7.4218402777777746</c:v>
                </c:pt>
                <c:pt idx="98">
                  <c:v>5.7709861111111111</c:v>
                </c:pt>
                <c:pt idx="99">
                  <c:v>8.8956863425926063</c:v>
                </c:pt>
                <c:pt idx="100">
                  <c:v>10.357157407407421</c:v>
                </c:pt>
                <c:pt idx="101">
                  <c:v>10.171061342592568</c:v>
                </c:pt>
                <c:pt idx="102">
                  <c:v>9.6157905092592681</c:v>
                </c:pt>
                <c:pt idx="103">
                  <c:v>6.531266203703713</c:v>
                </c:pt>
                <c:pt idx="104">
                  <c:v>8.825378472222221</c:v>
                </c:pt>
                <c:pt idx="105">
                  <c:v>7.6972372685185091</c:v>
                </c:pt>
                <c:pt idx="106">
                  <c:v>9.1908437500000009</c:v>
                </c:pt>
                <c:pt idx="107">
                  <c:v>9.078880787037038</c:v>
                </c:pt>
                <c:pt idx="108">
                  <c:v>10.539146990740747</c:v>
                </c:pt>
                <c:pt idx="109">
                  <c:v>8.3987986111111059</c:v>
                </c:pt>
                <c:pt idx="110">
                  <c:v>0.38446759259259322</c:v>
                </c:pt>
                <c:pt idx="111">
                  <c:v>0.4119305555555563</c:v>
                </c:pt>
                <c:pt idx="112">
                  <c:v>0.42810648148148256</c:v>
                </c:pt>
                <c:pt idx="113">
                  <c:v>1.4898437500000028</c:v>
                </c:pt>
                <c:pt idx="114">
                  <c:v>0.60243171296296427</c:v>
                </c:pt>
                <c:pt idx="115">
                  <c:v>0.33896759259259301</c:v>
                </c:pt>
                <c:pt idx="116">
                  <c:v>0.32224537037037032</c:v>
                </c:pt>
                <c:pt idx="117">
                  <c:v>0.30853009259259245</c:v>
                </c:pt>
                <c:pt idx="118">
                  <c:v>4.0221840277777678</c:v>
                </c:pt>
                <c:pt idx="119">
                  <c:v>3.9856932870370394</c:v>
                </c:pt>
                <c:pt idx="120">
                  <c:v>7.6918032407407395</c:v>
                </c:pt>
                <c:pt idx="121">
                  <c:v>8.3512048611111069</c:v>
                </c:pt>
                <c:pt idx="122">
                  <c:v>4.8609895013123365</c:v>
                </c:pt>
              </c:numCache>
            </c:numRef>
          </c:val>
        </c:ser>
        <c:axId val="119158656"/>
        <c:axId val="119160192"/>
      </c:barChart>
      <c:dateAx>
        <c:axId val="119158656"/>
        <c:scaling>
          <c:orientation val="minMax"/>
        </c:scaling>
        <c:axPos val="b"/>
        <c:numFmt formatCode="m/d/yyyy" sourceLinked="1"/>
        <c:tickLblPos val="nextTo"/>
        <c:crossAx val="119160192"/>
        <c:crosses val="autoZero"/>
        <c:auto val="1"/>
        <c:lblOffset val="100"/>
      </c:dateAx>
      <c:valAx>
        <c:axId val="119160192"/>
        <c:scaling>
          <c:orientation val="minMax"/>
        </c:scaling>
        <c:axPos val="l"/>
        <c:majorGridlines/>
        <c:numFmt formatCode="General" sourceLinked="1"/>
        <c:tickLblPos val="nextTo"/>
        <c:crossAx val="11915865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43"/>
  <c:chart>
    <c:title/>
    <c:plotArea>
      <c:layout/>
      <c:barChart>
        <c:barDir val="col"/>
        <c:grouping val="clustered"/>
        <c:varyColors val="1"/>
        <c:ser>
          <c:idx val="0"/>
          <c:order val="0"/>
          <c:tx>
            <c:v>Daily Cost</c:v>
          </c:tx>
          <c:spPr>
            <a:scene3d>
              <a:camera prst="orthographicFront"/>
              <a:lightRig rig="threePt" dir="t">
                <a:rot lat="0" lon="0" rev="4200000"/>
              </a:lightRig>
            </a:scene3d>
            <a:sp3d>
              <a:bevelT w="57150" h="6350"/>
              <a:bevelB h="0"/>
            </a:sp3d>
          </c:spPr>
          <c:trendline>
            <c:trendlineType val="power"/>
          </c:trendline>
          <c:cat>
            <c:numRef>
              <c:f>Sheet1!$A$6:$A$128</c:f>
              <c:numCache>
                <c:formatCode>m/d/yyyy</c:formatCode>
                <c:ptCount val="123"/>
                <c:pt idx="0">
                  <c:v>40028</c:v>
                </c:pt>
                <c:pt idx="1">
                  <c:v>40029</c:v>
                </c:pt>
                <c:pt idx="2">
                  <c:v>40030</c:v>
                </c:pt>
                <c:pt idx="3">
                  <c:v>40031</c:v>
                </c:pt>
                <c:pt idx="4">
                  <c:v>40032</c:v>
                </c:pt>
                <c:pt idx="5">
                  <c:v>40033</c:v>
                </c:pt>
                <c:pt idx="6">
                  <c:v>40034</c:v>
                </c:pt>
                <c:pt idx="7">
                  <c:v>40035</c:v>
                </c:pt>
                <c:pt idx="8">
                  <c:v>40036</c:v>
                </c:pt>
                <c:pt idx="9">
                  <c:v>40037</c:v>
                </c:pt>
                <c:pt idx="10">
                  <c:v>40038</c:v>
                </c:pt>
                <c:pt idx="11">
                  <c:v>40039</c:v>
                </c:pt>
                <c:pt idx="12">
                  <c:v>40040</c:v>
                </c:pt>
                <c:pt idx="13">
                  <c:v>40041</c:v>
                </c:pt>
                <c:pt idx="14">
                  <c:v>40042</c:v>
                </c:pt>
                <c:pt idx="15">
                  <c:v>40043</c:v>
                </c:pt>
                <c:pt idx="16">
                  <c:v>40044</c:v>
                </c:pt>
                <c:pt idx="17">
                  <c:v>40045</c:v>
                </c:pt>
                <c:pt idx="18">
                  <c:v>40046</c:v>
                </c:pt>
                <c:pt idx="19">
                  <c:v>40047</c:v>
                </c:pt>
                <c:pt idx="20">
                  <c:v>40048</c:v>
                </c:pt>
                <c:pt idx="21">
                  <c:v>40049</c:v>
                </c:pt>
                <c:pt idx="22">
                  <c:v>40050</c:v>
                </c:pt>
                <c:pt idx="23">
                  <c:v>40051</c:v>
                </c:pt>
                <c:pt idx="24">
                  <c:v>40052</c:v>
                </c:pt>
                <c:pt idx="25">
                  <c:v>40053</c:v>
                </c:pt>
                <c:pt idx="26">
                  <c:v>40054</c:v>
                </c:pt>
                <c:pt idx="27">
                  <c:v>40055</c:v>
                </c:pt>
                <c:pt idx="28">
                  <c:v>40056</c:v>
                </c:pt>
                <c:pt idx="29">
                  <c:v>40057</c:v>
                </c:pt>
                <c:pt idx="30">
                  <c:v>40058</c:v>
                </c:pt>
                <c:pt idx="31">
                  <c:v>40059</c:v>
                </c:pt>
                <c:pt idx="32">
                  <c:v>40060</c:v>
                </c:pt>
                <c:pt idx="33">
                  <c:v>40061</c:v>
                </c:pt>
                <c:pt idx="34">
                  <c:v>40062</c:v>
                </c:pt>
                <c:pt idx="35">
                  <c:v>40063</c:v>
                </c:pt>
                <c:pt idx="36">
                  <c:v>40064</c:v>
                </c:pt>
                <c:pt idx="37">
                  <c:v>40065</c:v>
                </c:pt>
                <c:pt idx="38">
                  <c:v>40066</c:v>
                </c:pt>
                <c:pt idx="39">
                  <c:v>40067</c:v>
                </c:pt>
                <c:pt idx="40">
                  <c:v>40068</c:v>
                </c:pt>
                <c:pt idx="41">
                  <c:v>40069</c:v>
                </c:pt>
                <c:pt idx="42">
                  <c:v>40070</c:v>
                </c:pt>
                <c:pt idx="43">
                  <c:v>40071</c:v>
                </c:pt>
                <c:pt idx="44">
                  <c:v>40072</c:v>
                </c:pt>
                <c:pt idx="45">
                  <c:v>40073</c:v>
                </c:pt>
                <c:pt idx="46">
                  <c:v>40074</c:v>
                </c:pt>
                <c:pt idx="47">
                  <c:v>40075</c:v>
                </c:pt>
                <c:pt idx="48">
                  <c:v>40076</c:v>
                </c:pt>
                <c:pt idx="49">
                  <c:v>40077</c:v>
                </c:pt>
                <c:pt idx="50">
                  <c:v>40078</c:v>
                </c:pt>
                <c:pt idx="51">
                  <c:v>40079</c:v>
                </c:pt>
                <c:pt idx="52">
                  <c:v>40080</c:v>
                </c:pt>
                <c:pt idx="53">
                  <c:v>40081</c:v>
                </c:pt>
                <c:pt idx="54">
                  <c:v>40082</c:v>
                </c:pt>
                <c:pt idx="55">
                  <c:v>40083</c:v>
                </c:pt>
                <c:pt idx="56">
                  <c:v>40084</c:v>
                </c:pt>
                <c:pt idx="57">
                  <c:v>40085</c:v>
                </c:pt>
                <c:pt idx="58">
                  <c:v>40086</c:v>
                </c:pt>
                <c:pt idx="59">
                  <c:v>40087</c:v>
                </c:pt>
                <c:pt idx="60">
                  <c:v>40088</c:v>
                </c:pt>
                <c:pt idx="61">
                  <c:v>40089</c:v>
                </c:pt>
                <c:pt idx="62">
                  <c:v>40090</c:v>
                </c:pt>
                <c:pt idx="63">
                  <c:v>40091</c:v>
                </c:pt>
                <c:pt idx="64">
                  <c:v>40092</c:v>
                </c:pt>
                <c:pt idx="65">
                  <c:v>40093</c:v>
                </c:pt>
                <c:pt idx="66">
                  <c:v>40094</c:v>
                </c:pt>
                <c:pt idx="67">
                  <c:v>40095</c:v>
                </c:pt>
                <c:pt idx="68">
                  <c:v>40096</c:v>
                </c:pt>
                <c:pt idx="69">
                  <c:v>40097</c:v>
                </c:pt>
                <c:pt idx="70">
                  <c:v>40098</c:v>
                </c:pt>
                <c:pt idx="71">
                  <c:v>40099</c:v>
                </c:pt>
                <c:pt idx="72">
                  <c:v>40100</c:v>
                </c:pt>
                <c:pt idx="73">
                  <c:v>40101</c:v>
                </c:pt>
                <c:pt idx="74">
                  <c:v>40102</c:v>
                </c:pt>
                <c:pt idx="75">
                  <c:v>40103</c:v>
                </c:pt>
                <c:pt idx="76">
                  <c:v>40104</c:v>
                </c:pt>
                <c:pt idx="77">
                  <c:v>40105</c:v>
                </c:pt>
                <c:pt idx="78">
                  <c:v>40106</c:v>
                </c:pt>
                <c:pt idx="79">
                  <c:v>40107</c:v>
                </c:pt>
                <c:pt idx="80">
                  <c:v>40108</c:v>
                </c:pt>
                <c:pt idx="81">
                  <c:v>40109</c:v>
                </c:pt>
                <c:pt idx="82">
                  <c:v>40110</c:v>
                </c:pt>
                <c:pt idx="83">
                  <c:v>40111</c:v>
                </c:pt>
                <c:pt idx="84">
                  <c:v>40112</c:v>
                </c:pt>
                <c:pt idx="85">
                  <c:v>40113</c:v>
                </c:pt>
                <c:pt idx="86">
                  <c:v>40114</c:v>
                </c:pt>
                <c:pt idx="87">
                  <c:v>40115</c:v>
                </c:pt>
                <c:pt idx="88">
                  <c:v>40116</c:v>
                </c:pt>
                <c:pt idx="89">
                  <c:v>40117</c:v>
                </c:pt>
                <c:pt idx="90">
                  <c:v>40118</c:v>
                </c:pt>
                <c:pt idx="91">
                  <c:v>40119</c:v>
                </c:pt>
                <c:pt idx="92">
                  <c:v>40120</c:v>
                </c:pt>
                <c:pt idx="93">
                  <c:v>40121</c:v>
                </c:pt>
                <c:pt idx="94">
                  <c:v>40122</c:v>
                </c:pt>
                <c:pt idx="95">
                  <c:v>40123</c:v>
                </c:pt>
                <c:pt idx="96">
                  <c:v>40124</c:v>
                </c:pt>
                <c:pt idx="97">
                  <c:v>40125</c:v>
                </c:pt>
                <c:pt idx="98">
                  <c:v>40126</c:v>
                </c:pt>
                <c:pt idx="99">
                  <c:v>40127</c:v>
                </c:pt>
                <c:pt idx="100">
                  <c:v>40128</c:v>
                </c:pt>
                <c:pt idx="101">
                  <c:v>40129</c:v>
                </c:pt>
                <c:pt idx="102">
                  <c:v>40130</c:v>
                </c:pt>
                <c:pt idx="103">
                  <c:v>40131</c:v>
                </c:pt>
                <c:pt idx="104">
                  <c:v>40132</c:v>
                </c:pt>
                <c:pt idx="105">
                  <c:v>40133</c:v>
                </c:pt>
                <c:pt idx="106">
                  <c:v>40134</c:v>
                </c:pt>
                <c:pt idx="107">
                  <c:v>40135</c:v>
                </c:pt>
                <c:pt idx="108">
                  <c:v>40136</c:v>
                </c:pt>
                <c:pt idx="109">
                  <c:v>40137</c:v>
                </c:pt>
                <c:pt idx="110">
                  <c:v>40138</c:v>
                </c:pt>
                <c:pt idx="111">
                  <c:v>40139</c:v>
                </c:pt>
                <c:pt idx="112">
                  <c:v>40140</c:v>
                </c:pt>
                <c:pt idx="113">
                  <c:v>40141</c:v>
                </c:pt>
                <c:pt idx="114">
                  <c:v>40142</c:v>
                </c:pt>
                <c:pt idx="115">
                  <c:v>40143</c:v>
                </c:pt>
                <c:pt idx="116">
                  <c:v>40144</c:v>
                </c:pt>
                <c:pt idx="117">
                  <c:v>40145</c:v>
                </c:pt>
                <c:pt idx="118">
                  <c:v>40146</c:v>
                </c:pt>
                <c:pt idx="119">
                  <c:v>40147</c:v>
                </c:pt>
                <c:pt idx="120">
                  <c:v>40148</c:v>
                </c:pt>
                <c:pt idx="121">
                  <c:v>40149</c:v>
                </c:pt>
                <c:pt idx="122">
                  <c:v>40150</c:v>
                </c:pt>
              </c:numCache>
            </c:numRef>
          </c:cat>
          <c:val>
            <c:numRef>
              <c:f>Sheet1!$G$6:$G$128</c:f>
              <c:numCache>
                <c:formatCode>"$"#,##0.00</c:formatCode>
                <c:ptCount val="123"/>
                <c:pt idx="0">
                  <c:v>38.177665592355275</c:v>
                </c:pt>
                <c:pt idx="1">
                  <c:v>30.231423885311969</c:v>
                </c:pt>
                <c:pt idx="2">
                  <c:v>33.675065669631998</c:v>
                </c:pt>
                <c:pt idx="3">
                  <c:v>30.596930623487992</c:v>
                </c:pt>
                <c:pt idx="4">
                  <c:v>33.944683218943958</c:v>
                </c:pt>
                <c:pt idx="5">
                  <c:v>31.521845289984</c:v>
                </c:pt>
                <c:pt idx="6">
                  <c:v>17.756898037759992</c:v>
                </c:pt>
                <c:pt idx="7">
                  <c:v>33.895552946176096</c:v>
                </c:pt>
                <c:pt idx="8">
                  <c:v>27.28045385932796</c:v>
                </c:pt>
                <c:pt idx="9">
                  <c:v>29.766312017919951</c:v>
                </c:pt>
                <c:pt idx="10">
                  <c:v>29.777708383231982</c:v>
                </c:pt>
                <c:pt idx="11">
                  <c:v>30.652816410623988</c:v>
                </c:pt>
                <c:pt idx="12">
                  <c:v>27.607289555967974</c:v>
                </c:pt>
                <c:pt idx="13">
                  <c:v>25.412285219839987</c:v>
                </c:pt>
                <c:pt idx="14">
                  <c:v>35.601882604543995</c:v>
                </c:pt>
                <c:pt idx="15">
                  <c:v>47.013783969791994</c:v>
                </c:pt>
                <c:pt idx="16">
                  <c:v>43.740908387328012</c:v>
                </c:pt>
                <c:pt idx="17">
                  <c:v>34.167660012543976</c:v>
                </c:pt>
                <c:pt idx="18">
                  <c:v>32.12985380659201</c:v>
                </c:pt>
                <c:pt idx="19">
                  <c:v>26.004757683200001</c:v>
                </c:pt>
                <c:pt idx="20">
                  <c:v>38.642882694143985</c:v>
                </c:pt>
                <c:pt idx="21">
                  <c:v>34.595255683913557</c:v>
                </c:pt>
                <c:pt idx="22">
                  <c:v>32.876080092842585</c:v>
                </c:pt>
                <c:pt idx="23">
                  <c:v>35.62425566208001</c:v>
                </c:pt>
                <c:pt idx="24">
                  <c:v>43.571088826709371</c:v>
                </c:pt>
                <c:pt idx="25">
                  <c:v>46.321475489109396</c:v>
                </c:pt>
                <c:pt idx="26">
                  <c:v>20.48748672409603</c:v>
                </c:pt>
                <c:pt idx="27">
                  <c:v>30.860621139285342</c:v>
                </c:pt>
                <c:pt idx="28">
                  <c:v>35.151163215189378</c:v>
                </c:pt>
                <c:pt idx="29">
                  <c:v>37.359529181866648</c:v>
                </c:pt>
                <c:pt idx="30">
                  <c:v>44.881848757247965</c:v>
                </c:pt>
                <c:pt idx="31">
                  <c:v>39.854254801919957</c:v>
                </c:pt>
                <c:pt idx="32">
                  <c:v>29.009223125333403</c:v>
                </c:pt>
                <c:pt idx="33">
                  <c:v>27.950109500416026</c:v>
                </c:pt>
                <c:pt idx="34">
                  <c:v>24.903622422869361</c:v>
                </c:pt>
                <c:pt idx="35">
                  <c:v>26.044277578069309</c:v>
                </c:pt>
                <c:pt idx="36">
                  <c:v>34.039113738240012</c:v>
                </c:pt>
                <c:pt idx="37">
                  <c:v>32.154463762431945</c:v>
                </c:pt>
                <c:pt idx="38">
                  <c:v>32.359579323733264</c:v>
                </c:pt>
                <c:pt idx="39">
                  <c:v>24.745852505088056</c:v>
                </c:pt>
                <c:pt idx="40">
                  <c:v>24.147644509525318</c:v>
                </c:pt>
                <c:pt idx="41">
                  <c:v>24.400968149333327</c:v>
                </c:pt>
                <c:pt idx="42">
                  <c:v>31.324911316650741</c:v>
                </c:pt>
                <c:pt idx="43">
                  <c:v>30.322736057002672</c:v>
                </c:pt>
                <c:pt idx="44">
                  <c:v>33.446622260565327</c:v>
                </c:pt>
                <c:pt idx="45">
                  <c:v>33.080490766335998</c:v>
                </c:pt>
                <c:pt idx="46">
                  <c:v>24.701270728021349</c:v>
                </c:pt>
                <c:pt idx="47">
                  <c:v>20.289504247125304</c:v>
                </c:pt>
                <c:pt idx="48">
                  <c:v>18.142333135871997</c:v>
                </c:pt>
                <c:pt idx="49">
                  <c:v>23.883474561365325</c:v>
                </c:pt>
                <c:pt idx="50">
                  <c:v>22.759398530389319</c:v>
                </c:pt>
                <c:pt idx="51">
                  <c:v>28.166371524608063</c:v>
                </c:pt>
                <c:pt idx="52">
                  <c:v>24.995142393856007</c:v>
                </c:pt>
                <c:pt idx="53">
                  <c:v>25.241217505279966</c:v>
                </c:pt>
                <c:pt idx="54">
                  <c:v>26.367593435170427</c:v>
                </c:pt>
                <c:pt idx="55">
                  <c:v>17.96689077077329</c:v>
                </c:pt>
                <c:pt idx="56">
                  <c:v>20.434263762229591</c:v>
                </c:pt>
                <c:pt idx="57">
                  <c:v>25.121288790016049</c:v>
                </c:pt>
                <c:pt idx="58">
                  <c:v>28.577580526250731</c:v>
                </c:pt>
                <c:pt idx="59">
                  <c:v>27.050265207808067</c:v>
                </c:pt>
                <c:pt idx="60">
                  <c:v>20.677092037290691</c:v>
                </c:pt>
                <c:pt idx="61">
                  <c:v>8.5611245540693268</c:v>
                </c:pt>
                <c:pt idx="62">
                  <c:v>9.166320310271999</c:v>
                </c:pt>
                <c:pt idx="63">
                  <c:v>10.489857860266676</c:v>
                </c:pt>
                <c:pt idx="64">
                  <c:v>10.820981284864002</c:v>
                </c:pt>
                <c:pt idx="65">
                  <c:v>11.715225861802653</c:v>
                </c:pt>
                <c:pt idx="66">
                  <c:v>12.189536582997354</c:v>
                </c:pt>
                <c:pt idx="67">
                  <c:v>11.80784730487467</c:v>
                </c:pt>
                <c:pt idx="68">
                  <c:v>9.0921183054506649</c:v>
                </c:pt>
                <c:pt idx="69">
                  <c:v>10.203509072213334</c:v>
                </c:pt>
                <c:pt idx="70">
                  <c:v>6.3179963456853265</c:v>
                </c:pt>
                <c:pt idx="71">
                  <c:v>10.141026676053333</c:v>
                </c:pt>
                <c:pt idx="72">
                  <c:v>9.5565361503573527</c:v>
                </c:pt>
                <c:pt idx="73">
                  <c:v>11.764091292330669</c:v>
                </c:pt>
                <c:pt idx="74">
                  <c:v>12.37427151530667</c:v>
                </c:pt>
                <c:pt idx="75">
                  <c:v>8.0892623580314975</c:v>
                </c:pt>
                <c:pt idx="76">
                  <c:v>7.8726746210986684</c:v>
                </c:pt>
                <c:pt idx="77">
                  <c:v>6.603922744320001</c:v>
                </c:pt>
                <c:pt idx="78">
                  <c:v>9.4848453932373324</c:v>
                </c:pt>
                <c:pt idx="79">
                  <c:v>10.853383035221349</c:v>
                </c:pt>
                <c:pt idx="80">
                  <c:v>10.80852690875734</c:v>
                </c:pt>
                <c:pt idx="81">
                  <c:v>11.802380689408009</c:v>
                </c:pt>
                <c:pt idx="82">
                  <c:v>9.3727600827733344</c:v>
                </c:pt>
                <c:pt idx="83">
                  <c:v>9.8368967874559967</c:v>
                </c:pt>
                <c:pt idx="84">
                  <c:v>11.077434137600022</c:v>
                </c:pt>
                <c:pt idx="85">
                  <c:v>11.575025170773335</c:v>
                </c:pt>
                <c:pt idx="86">
                  <c:v>6.8376093149148121</c:v>
                </c:pt>
                <c:pt idx="87">
                  <c:v>15.545493971646179</c:v>
                </c:pt>
                <c:pt idx="88">
                  <c:v>12.344538559829353</c:v>
                </c:pt>
                <c:pt idx="89">
                  <c:v>6.9740024251733388</c:v>
                </c:pt>
                <c:pt idx="90">
                  <c:v>9.6796782848000031</c:v>
                </c:pt>
                <c:pt idx="91">
                  <c:v>10.513859358037342</c:v>
                </c:pt>
                <c:pt idx="92">
                  <c:v>10.762161860608</c:v>
                </c:pt>
                <c:pt idx="93">
                  <c:v>11.234803396607992</c:v>
                </c:pt>
                <c:pt idx="94">
                  <c:v>11.274411572224004</c:v>
                </c:pt>
                <c:pt idx="95">
                  <c:v>10.988089947477325</c:v>
                </c:pt>
                <c:pt idx="96">
                  <c:v>17.917278349311985</c:v>
                </c:pt>
                <c:pt idx="97">
                  <c:v>8.7091944550400004</c:v>
                </c:pt>
                <c:pt idx="98">
                  <c:v>6.7719916298239999</c:v>
                </c:pt>
                <c:pt idx="99">
                  <c:v>10.438686265002676</c:v>
                </c:pt>
                <c:pt idx="100">
                  <c:v>12.153656571221353</c:v>
                </c:pt>
                <c:pt idx="101">
                  <c:v>11.935281241770664</c:v>
                </c:pt>
                <c:pt idx="102">
                  <c:v>11.283695990442666</c:v>
                </c:pt>
                <c:pt idx="103">
                  <c:v>7.6641459903146698</c:v>
                </c:pt>
                <c:pt idx="104">
                  <c:v>10.356183153664009</c:v>
                </c:pt>
                <c:pt idx="105">
                  <c:v>9.032360388949332</c:v>
                </c:pt>
                <c:pt idx="106">
                  <c:v>10.785040155648014</c:v>
                </c:pt>
                <c:pt idx="107">
                  <c:v>10.653656673962679</c:v>
                </c:pt>
                <c:pt idx="108">
                  <c:v>12.367213130069334</c:v>
                </c:pt>
                <c:pt idx="109">
                  <c:v>9.8556109475840117</c:v>
                </c:pt>
                <c:pt idx="110">
                  <c:v>0.4511553604266671</c:v>
                </c:pt>
                <c:pt idx="111">
                  <c:v>0.48338190745600124</c:v>
                </c:pt>
                <c:pt idx="112">
                  <c:v>0.50236362615466756</c:v>
                </c:pt>
                <c:pt idx="113">
                  <c:v>1.7482643712000046</c:v>
                </c:pt>
                <c:pt idx="114">
                  <c:v>0.70692641416533541</c:v>
                </c:pt>
                <c:pt idx="115">
                  <c:v>0.39776316484266716</c:v>
                </c:pt>
                <c:pt idx="116">
                  <c:v>0.37814039210666667</c:v>
                </c:pt>
                <c:pt idx="117">
                  <c:v>0.36204613290666682</c:v>
                </c:pt>
                <c:pt idx="118">
                  <c:v>4.7198513469439956</c:v>
                </c:pt>
                <c:pt idx="119">
                  <c:v>4.6770311103146707</c:v>
                </c:pt>
                <c:pt idx="120">
                  <c:v>9.0259838027093409</c:v>
                </c:pt>
                <c:pt idx="121">
                  <c:v>9.7997618309119972</c:v>
                </c:pt>
                <c:pt idx="122">
                  <c:v>5.7041516963920653</c:v>
                </c:pt>
              </c:numCache>
            </c:numRef>
          </c:val>
        </c:ser>
        <c:axId val="100544512"/>
        <c:axId val="100546048"/>
      </c:barChart>
      <c:dateAx>
        <c:axId val="100544512"/>
        <c:scaling>
          <c:orientation val="minMax"/>
        </c:scaling>
        <c:axPos val="b"/>
        <c:numFmt formatCode="m/d/yyyy" sourceLinked="1"/>
        <c:tickLblPos val="nextTo"/>
        <c:crossAx val="100546048"/>
        <c:crosses val="autoZero"/>
        <c:auto val="1"/>
        <c:lblOffset val="100"/>
      </c:dateAx>
      <c:valAx>
        <c:axId val="100546048"/>
        <c:scaling>
          <c:orientation val="minMax"/>
        </c:scaling>
        <c:axPos val="l"/>
        <c:majorGridlines/>
        <c:numFmt formatCode="&quot;$&quot;#,##0.00" sourceLinked="1"/>
        <c:tickLblPos val="nextTo"/>
        <c:crossAx val="10054451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E40707-41C8-4328-9CFD-763A9F27D061}"/>
</file>

<file path=customXml/itemProps2.xml><?xml version="1.0" encoding="utf-8"?>
<ds:datastoreItem xmlns:ds="http://schemas.openxmlformats.org/officeDocument/2006/customXml" ds:itemID="{8E39C524-BC35-42B5-BBE3-FB1411ED1973}"/>
</file>

<file path=customXml/itemProps3.xml><?xml version="1.0" encoding="utf-8"?>
<ds:datastoreItem xmlns:ds="http://schemas.openxmlformats.org/officeDocument/2006/customXml" ds:itemID="{9A6F8A2E-0B06-4A4F-A63A-36F39472287C}"/>
</file>

<file path=docProps/app.xml><?xml version="1.0" encoding="utf-8"?>
<Properties xmlns="http://schemas.openxmlformats.org/officeDocument/2006/extended-properties" xmlns:vt="http://schemas.openxmlformats.org/officeDocument/2006/docPropsVTypes">
  <Template>Normal</Template>
  <TotalTime>299</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litchfor</dc:creator>
  <cp:keywords/>
  <dc:description/>
  <cp:lastModifiedBy>litchfor</cp:lastModifiedBy>
  <cp:revision>4</cp:revision>
  <dcterms:created xsi:type="dcterms:W3CDTF">2009-12-04T20:10:00Z</dcterms:created>
  <dcterms:modified xsi:type="dcterms:W3CDTF">2009-12-09T17:32:00Z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