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5"/>
        <w:tblW w:w="0" w:type="auto"/>
        <w:tblLook w:val="04A0" w:firstRow="1" w:lastRow="0" w:firstColumn="1" w:lastColumn="0" w:noHBand="0" w:noVBand="1"/>
      </w:tblPr>
      <w:tblGrid>
        <w:gridCol w:w="2628"/>
        <w:gridCol w:w="2790"/>
      </w:tblGrid>
      <w:tr w:rsidR="000D2DE4" w:rsidRPr="000D2DE4" w:rsidTr="000D2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rPr>
                <w:color w:val="00B050"/>
              </w:rPr>
            </w:pPr>
            <w:r w:rsidRPr="000D2DE4">
              <w:t xml:space="preserve">Year Funding Allocated: </w:t>
            </w:r>
            <w:r w:rsidR="0018319C">
              <w:t xml:space="preserve"> </w:t>
            </w:r>
          </w:p>
        </w:tc>
        <w:tc>
          <w:tcPr>
            <w:tcW w:w="2790" w:type="dxa"/>
          </w:tcPr>
          <w:p w:rsidR="000D2DE4" w:rsidRPr="000D2DE4" w:rsidRDefault="00D126D3" w:rsidP="008271E8">
            <w:pPr>
              <w:cnfStyle w:val="100000000000" w:firstRow="1" w:lastRow="0" w:firstColumn="0" w:lastColumn="0" w:oddVBand="0" w:evenVBand="0" w:oddHBand="0" w:evenHBand="0" w:firstRowFirstColumn="0" w:firstRowLastColumn="0" w:lastRowFirstColumn="0" w:lastRowLastColumn="0"/>
            </w:pPr>
            <w:r>
              <w:t>FY09</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Funding Amount: </w:t>
            </w:r>
          </w:p>
        </w:tc>
        <w:tc>
          <w:tcPr>
            <w:tcW w:w="2790" w:type="dxa"/>
          </w:tcPr>
          <w:p w:rsidR="000D2DE4" w:rsidRPr="000D2DE4" w:rsidRDefault="00D126D3" w:rsidP="008271E8">
            <w:pPr>
              <w:cnfStyle w:val="000000100000" w:firstRow="0" w:lastRow="0" w:firstColumn="0" w:lastColumn="0" w:oddVBand="0" w:evenVBand="0" w:oddHBand="1" w:evenHBand="0" w:firstRowFirstColumn="0" w:firstRowLastColumn="0" w:lastRowFirstColumn="0" w:lastRowLastColumn="0"/>
            </w:pPr>
            <w:r>
              <w:t>$10,600.00</w:t>
            </w:r>
          </w:p>
        </w:tc>
      </w:tr>
      <w:tr w:rsidR="000D2DE4" w:rsidRPr="000D2DE4" w:rsidTr="000D2DE4">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Anticipated End Date: </w:t>
            </w:r>
            <w:r w:rsidR="00D126D3">
              <w:t xml:space="preserve"> </w:t>
            </w:r>
          </w:p>
        </w:tc>
        <w:tc>
          <w:tcPr>
            <w:tcW w:w="2790" w:type="dxa"/>
          </w:tcPr>
          <w:p w:rsidR="000D2DE4" w:rsidRPr="000D2DE4" w:rsidRDefault="00D126D3" w:rsidP="008271E8">
            <w:pPr>
              <w:cnfStyle w:val="000000000000" w:firstRow="0" w:lastRow="0" w:firstColumn="0" w:lastColumn="0" w:oddVBand="0" w:evenVBand="0" w:oddHBand="0" w:evenHBand="0" w:firstRowFirstColumn="0" w:firstRowLastColumn="0" w:lastRowFirstColumn="0" w:lastRowLastColumn="0"/>
            </w:pPr>
            <w:r>
              <w:t>November 30, 2009</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Project Leader Name: </w:t>
            </w:r>
          </w:p>
        </w:tc>
        <w:tc>
          <w:tcPr>
            <w:tcW w:w="2790" w:type="dxa"/>
          </w:tcPr>
          <w:p w:rsidR="000D2DE4" w:rsidRPr="000D2DE4" w:rsidRDefault="00D126D3" w:rsidP="008271E8">
            <w:pPr>
              <w:cnfStyle w:val="000000100000" w:firstRow="0" w:lastRow="0" w:firstColumn="0" w:lastColumn="0" w:oddVBand="0" w:evenVBand="0" w:oddHBand="1" w:evenHBand="0" w:firstRowFirstColumn="0" w:firstRowLastColumn="0" w:lastRowFirstColumn="0" w:lastRowLastColumn="0"/>
            </w:pPr>
            <w:r>
              <w:t>Morgan Johnston</w:t>
            </w:r>
          </w:p>
        </w:tc>
      </w:tr>
      <w:tr w:rsidR="000D2DE4" w:rsidRPr="000D2DE4" w:rsidTr="000D2DE4">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Project Leader Email/Phone:</w:t>
            </w:r>
            <w:r w:rsidR="00F10F3E">
              <w:t xml:space="preserve"> </w:t>
            </w:r>
          </w:p>
        </w:tc>
        <w:tc>
          <w:tcPr>
            <w:tcW w:w="2790" w:type="dxa"/>
          </w:tcPr>
          <w:p w:rsidR="00D126D3" w:rsidRDefault="00DB103D" w:rsidP="008271E8">
            <w:pPr>
              <w:cnfStyle w:val="000000000000" w:firstRow="0" w:lastRow="0" w:firstColumn="0" w:lastColumn="0" w:oddVBand="0" w:evenVBand="0" w:oddHBand="0" w:evenHBand="0" w:firstRowFirstColumn="0" w:firstRowLastColumn="0" w:lastRowFirstColumn="0" w:lastRowLastColumn="0"/>
            </w:pPr>
            <w:hyperlink r:id="rId9" w:history="1">
              <w:r w:rsidR="00D126D3" w:rsidRPr="00201A9F">
                <w:rPr>
                  <w:rStyle w:val="Hyperlink"/>
                </w:rPr>
                <w:t>mbjohnst@illinois.edu</w:t>
              </w:r>
            </w:hyperlink>
          </w:p>
          <w:p w:rsidR="000D2DE4" w:rsidRPr="000D2DE4" w:rsidRDefault="00D126D3" w:rsidP="008271E8">
            <w:pPr>
              <w:cnfStyle w:val="000000000000" w:firstRow="0" w:lastRow="0" w:firstColumn="0" w:lastColumn="0" w:oddVBand="0" w:evenVBand="0" w:oddHBand="0" w:evenHBand="0" w:firstRowFirstColumn="0" w:firstRowLastColumn="0" w:lastRowFirstColumn="0" w:lastRowLastColumn="0"/>
            </w:pPr>
            <w:r>
              <w:t xml:space="preserve"> 217-333-2668</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Today’s Date: </w:t>
            </w:r>
            <w:r w:rsidR="00F10F3E">
              <w:t xml:space="preserve"> </w:t>
            </w:r>
          </w:p>
        </w:tc>
        <w:tc>
          <w:tcPr>
            <w:tcW w:w="2790" w:type="dxa"/>
          </w:tcPr>
          <w:p w:rsidR="000D2DE4" w:rsidRPr="000D2DE4" w:rsidRDefault="00D126D3" w:rsidP="008271E8">
            <w:pPr>
              <w:cnfStyle w:val="000000100000" w:firstRow="0" w:lastRow="0" w:firstColumn="0" w:lastColumn="0" w:oddVBand="0" w:evenVBand="0" w:oddHBand="1" w:evenHBand="0" w:firstRowFirstColumn="0" w:firstRowLastColumn="0" w:lastRowFirstColumn="0" w:lastRowLastColumn="0"/>
            </w:pPr>
            <w:r>
              <w:t>Nov. 7, 2012</w:t>
            </w:r>
          </w:p>
        </w:tc>
      </w:tr>
    </w:tbl>
    <w:p w:rsidR="00946333" w:rsidRDefault="007113CE" w:rsidP="007113CE">
      <w:pPr>
        <w:pStyle w:val="Heading2"/>
      </w:pPr>
      <w:r>
        <w:t>Project Scope</w:t>
      </w:r>
    </w:p>
    <w:p w:rsidR="00A547AD" w:rsidRPr="00A547AD" w:rsidRDefault="00A547AD" w:rsidP="00A547AD">
      <w:r>
        <w:t>Fill in an executive overview here. Include original project scope and describe progress toward the stated goal. Indicate changes to the scope of the project (previous or anticipated).</w:t>
      </w:r>
    </w:p>
    <w:p w:rsidR="000D2DE4" w:rsidRDefault="00D126D3" w:rsidP="00D126D3">
      <w:pPr>
        <w:pStyle w:val="NoSpacing"/>
      </w:pPr>
      <w:r w:rsidRPr="00D126D3">
        <w:t>The goal of this project is to provide standard bicycle parking at three locations on campus: Freer Hall, the Undergraduate Library, and the Agricultural Engineering Sciences Building.  This will encourage bicycle riding and support the Campus Area Transportation Study (CATS) mission “to better accommodate pedestrian, bicycle, transit, and vehicle movements in a more user-friendly environment.”  This is also one of the amenities recommended by the University of Illinois at Urbana-Champaign Multi-Modal Transportation Study recommendation to “provide other amenities to accommodate existing bicyclists and attract new ones.”</w:t>
      </w:r>
    </w:p>
    <w:p w:rsidR="00D126D3" w:rsidRDefault="00D126D3" w:rsidP="00D126D3">
      <w:pPr>
        <w:pStyle w:val="NoSpacing"/>
      </w:pPr>
    </w:p>
    <w:p w:rsidR="000D2DE4" w:rsidRDefault="00D126D3" w:rsidP="00D126D3">
      <w:pPr>
        <w:pStyle w:val="NoSpacing"/>
      </w:pPr>
      <w:r>
        <w:t>The impacts are already visible: the racks at the Undergraduate Library are nearly always full, while the racks at Freer are used by not only students at Freer Hall, but students living at the Busey-Evans Residence hall as well. The Agricultural Engineering Sciences Building rack also remains full throughout the day.</w:t>
      </w:r>
    </w:p>
    <w:p w:rsidR="004754FA" w:rsidRDefault="004754FA" w:rsidP="007113CE">
      <w:pPr>
        <w:pStyle w:val="Heading2"/>
      </w:pPr>
      <w:r>
        <w:t>Timeline &amp; Budget</w:t>
      </w:r>
    </w:p>
    <w:p w:rsidR="000D2DE4" w:rsidRDefault="00A547AD" w:rsidP="00946333">
      <w:r>
        <w:t>Indicate project timeliness and budget as stated in application. Please indicate if the project is on schedule and within budget.</w:t>
      </w:r>
    </w:p>
    <w:tbl>
      <w:tblPr>
        <w:tblStyle w:val="LightShading-Accent5"/>
        <w:tblW w:w="6974" w:type="dxa"/>
        <w:jc w:val="center"/>
        <w:tblInd w:w="108" w:type="dxa"/>
        <w:tblLook w:val="04A0" w:firstRow="1" w:lastRow="0" w:firstColumn="1" w:lastColumn="0" w:noHBand="0" w:noVBand="1"/>
      </w:tblPr>
      <w:tblGrid>
        <w:gridCol w:w="1588"/>
        <w:gridCol w:w="1142"/>
        <w:gridCol w:w="1172"/>
        <w:gridCol w:w="3072"/>
      </w:tblGrid>
      <w:tr w:rsidR="007113CE" w:rsidRPr="0010035E" w:rsidTr="00BD357C">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597" w:type="dxa"/>
            <w:hideMark/>
          </w:tcPr>
          <w:p w:rsidR="007113CE" w:rsidRPr="000D2DE4" w:rsidRDefault="007113CE">
            <w:pPr>
              <w:jc w:val="center"/>
              <w:rPr>
                <w:szCs w:val="20"/>
              </w:rPr>
            </w:pPr>
            <w:r w:rsidRPr="000D2DE4">
              <w:rPr>
                <w:rFonts w:cs="Tahoma"/>
                <w:bCs w:val="0"/>
                <w:szCs w:val="20"/>
              </w:rPr>
              <w:t> Schedule item</w:t>
            </w:r>
          </w:p>
        </w:tc>
        <w:tc>
          <w:tcPr>
            <w:tcW w:w="1092" w:type="dxa"/>
            <w:hideMark/>
          </w:tcPr>
          <w:p w:rsidR="007113CE" w:rsidRPr="000D2DE4" w:rsidRDefault="007113CE">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Plan</w:t>
            </w:r>
            <w:r w:rsidR="00BD357C" w:rsidRPr="000D2DE4">
              <w:rPr>
                <w:rFonts w:cs="Tahoma"/>
                <w:bCs w:val="0"/>
                <w:szCs w:val="20"/>
              </w:rPr>
              <w:t>ned D</w:t>
            </w:r>
            <w:r w:rsidRPr="000D2DE4">
              <w:rPr>
                <w:rFonts w:cs="Tahoma"/>
                <w:bCs w:val="0"/>
                <w:szCs w:val="20"/>
              </w:rPr>
              <w:t>ate</w:t>
            </w:r>
          </w:p>
        </w:tc>
        <w:tc>
          <w:tcPr>
            <w:tcW w:w="1176" w:type="dxa"/>
            <w:hideMark/>
          </w:tcPr>
          <w:p w:rsidR="007113CE" w:rsidRPr="000D2DE4" w:rsidRDefault="00BD357C">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Actual D</w:t>
            </w:r>
            <w:r w:rsidR="007113CE" w:rsidRPr="000D2DE4">
              <w:rPr>
                <w:rFonts w:cs="Tahoma"/>
                <w:bCs w:val="0"/>
                <w:szCs w:val="20"/>
              </w:rPr>
              <w:t>ate</w:t>
            </w:r>
          </w:p>
        </w:tc>
        <w:tc>
          <w:tcPr>
            <w:tcW w:w="3109" w:type="dxa"/>
            <w:hideMark/>
          </w:tcPr>
          <w:p w:rsidR="007113CE" w:rsidRPr="000D2DE4" w:rsidRDefault="007113CE" w:rsidP="0010035E">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Variations from Proposed Timeline</w:t>
            </w:r>
          </w:p>
        </w:tc>
      </w:tr>
      <w:tr w:rsidR="00BD357C" w:rsidTr="000D2DE4">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D126D3" w:rsidP="00D126D3">
            <w:r>
              <w:t>ARC approval</w:t>
            </w:r>
          </w:p>
        </w:tc>
        <w:tc>
          <w:tcPr>
            <w:tcW w:w="1092" w:type="dxa"/>
            <w:hideMark/>
          </w:tcPr>
          <w:p w:rsidR="00BD357C" w:rsidRPr="000D2DE4" w:rsidRDefault="006A26FA" w:rsidP="006A26FA">
            <w:pPr>
              <w:jc w:val="right"/>
              <w:cnfStyle w:val="000000100000" w:firstRow="0" w:lastRow="0" w:firstColumn="0" w:lastColumn="0" w:oddVBand="0" w:evenVBand="0" w:oddHBand="1" w:evenHBand="0" w:firstRowFirstColumn="0" w:firstRowLastColumn="0" w:lastRowFirstColumn="0" w:lastRowLastColumn="0"/>
              <w:rPr>
                <w:szCs w:val="20"/>
              </w:rPr>
            </w:pPr>
            <w:r>
              <w:rPr>
                <w:szCs w:val="20"/>
              </w:rPr>
              <w:t>Jun 09</w:t>
            </w:r>
          </w:p>
        </w:tc>
        <w:tc>
          <w:tcPr>
            <w:tcW w:w="1176" w:type="dxa"/>
          </w:tcPr>
          <w:p w:rsidR="00BD357C" w:rsidRPr="000D2DE4" w:rsidRDefault="006A26FA">
            <w:pPr>
              <w:cnfStyle w:val="000000100000" w:firstRow="0" w:lastRow="0" w:firstColumn="0" w:lastColumn="0" w:oddVBand="0" w:evenVBand="0" w:oddHBand="1" w:evenHBand="0" w:firstRowFirstColumn="0" w:firstRowLastColumn="0" w:lastRowFirstColumn="0" w:lastRowLastColumn="0"/>
              <w:rPr>
                <w:szCs w:val="20"/>
              </w:rPr>
            </w:pPr>
            <w:r>
              <w:rPr>
                <w:szCs w:val="20"/>
              </w:rPr>
              <w:t>Jun 09</w:t>
            </w:r>
          </w:p>
        </w:tc>
        <w:tc>
          <w:tcPr>
            <w:tcW w:w="3109" w:type="dxa"/>
          </w:tcPr>
          <w:p w:rsidR="00BD357C" w:rsidRPr="000D2DE4" w:rsidRDefault="006A26FA">
            <w:pPr>
              <w:cnfStyle w:val="000000100000" w:firstRow="0" w:lastRow="0" w:firstColumn="0" w:lastColumn="0" w:oddVBand="0" w:evenVBand="0" w:oddHBand="1" w:evenHBand="0" w:firstRowFirstColumn="0" w:firstRowLastColumn="0" w:lastRowFirstColumn="0" w:lastRowLastColumn="0"/>
              <w:rPr>
                <w:szCs w:val="20"/>
              </w:rPr>
            </w:pPr>
            <w:r>
              <w:rPr>
                <w:szCs w:val="20"/>
              </w:rPr>
              <w:t>None</w:t>
            </w:r>
          </w:p>
        </w:tc>
      </w:tr>
      <w:tr w:rsidR="00BD357C" w:rsidTr="000D2DE4">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6A26FA">
            <w:pPr>
              <w:rPr>
                <w:szCs w:val="20"/>
              </w:rPr>
            </w:pPr>
            <w:r>
              <w:rPr>
                <w:szCs w:val="20"/>
              </w:rPr>
              <w:t>Racks ordered</w:t>
            </w:r>
          </w:p>
        </w:tc>
        <w:tc>
          <w:tcPr>
            <w:tcW w:w="1092" w:type="dxa"/>
            <w:hideMark/>
          </w:tcPr>
          <w:p w:rsidR="00BD357C" w:rsidRPr="000D2DE4" w:rsidRDefault="006A26FA">
            <w:pPr>
              <w:jc w:val="right"/>
              <w:cnfStyle w:val="000000000000" w:firstRow="0" w:lastRow="0" w:firstColumn="0" w:lastColumn="0" w:oddVBand="0" w:evenVBand="0" w:oddHBand="0" w:evenHBand="0" w:firstRowFirstColumn="0" w:firstRowLastColumn="0" w:lastRowFirstColumn="0" w:lastRowLastColumn="0"/>
              <w:rPr>
                <w:szCs w:val="20"/>
              </w:rPr>
            </w:pPr>
            <w:r>
              <w:rPr>
                <w:szCs w:val="20"/>
              </w:rPr>
              <w:t>Jul 09</w:t>
            </w:r>
          </w:p>
        </w:tc>
        <w:tc>
          <w:tcPr>
            <w:tcW w:w="1176" w:type="dxa"/>
          </w:tcPr>
          <w:p w:rsidR="00BD357C" w:rsidRPr="000D2DE4" w:rsidRDefault="006A26FA">
            <w:pPr>
              <w:cnfStyle w:val="000000000000" w:firstRow="0" w:lastRow="0" w:firstColumn="0" w:lastColumn="0" w:oddVBand="0" w:evenVBand="0" w:oddHBand="0" w:evenHBand="0" w:firstRowFirstColumn="0" w:firstRowLastColumn="0" w:lastRowFirstColumn="0" w:lastRowLastColumn="0"/>
              <w:rPr>
                <w:szCs w:val="20"/>
              </w:rPr>
            </w:pPr>
            <w:r>
              <w:rPr>
                <w:szCs w:val="20"/>
              </w:rPr>
              <w:t>Oct 09</w:t>
            </w:r>
          </w:p>
        </w:tc>
        <w:tc>
          <w:tcPr>
            <w:tcW w:w="3109" w:type="dxa"/>
          </w:tcPr>
          <w:p w:rsidR="00BD357C" w:rsidRPr="000D2DE4" w:rsidRDefault="006A26FA" w:rsidP="00F9215D">
            <w:pPr>
              <w:cnfStyle w:val="000000000000" w:firstRow="0" w:lastRow="0" w:firstColumn="0" w:lastColumn="0" w:oddVBand="0" w:evenVBand="0" w:oddHBand="0" w:evenHBand="0" w:firstRowFirstColumn="0" w:firstRowLastColumn="0" w:lastRowFirstColumn="0" w:lastRowLastColumn="0"/>
              <w:rPr>
                <w:szCs w:val="20"/>
              </w:rPr>
            </w:pPr>
            <w:r>
              <w:rPr>
                <w:szCs w:val="20"/>
              </w:rPr>
              <w:t>delayed by Morgan’s learning curve</w:t>
            </w:r>
          </w:p>
        </w:tc>
      </w:tr>
      <w:tr w:rsidR="00BD357C" w:rsidTr="000D2DE4">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6A26FA">
            <w:pPr>
              <w:rPr>
                <w:szCs w:val="20"/>
              </w:rPr>
            </w:pPr>
            <w:r>
              <w:rPr>
                <w:szCs w:val="20"/>
              </w:rPr>
              <w:t>Racks installed</w:t>
            </w:r>
          </w:p>
        </w:tc>
        <w:tc>
          <w:tcPr>
            <w:tcW w:w="1092" w:type="dxa"/>
            <w:hideMark/>
          </w:tcPr>
          <w:p w:rsidR="00BD357C" w:rsidRPr="000D2DE4" w:rsidRDefault="006A26FA">
            <w:pPr>
              <w:jc w:val="right"/>
              <w:cnfStyle w:val="000000100000" w:firstRow="0" w:lastRow="0" w:firstColumn="0" w:lastColumn="0" w:oddVBand="0" w:evenVBand="0" w:oddHBand="1" w:evenHBand="0" w:firstRowFirstColumn="0" w:firstRowLastColumn="0" w:lastRowFirstColumn="0" w:lastRowLastColumn="0"/>
              <w:rPr>
                <w:szCs w:val="20"/>
              </w:rPr>
            </w:pPr>
            <w:r>
              <w:rPr>
                <w:szCs w:val="20"/>
              </w:rPr>
              <w:t>Fall 09</w:t>
            </w:r>
          </w:p>
        </w:tc>
        <w:tc>
          <w:tcPr>
            <w:tcW w:w="1176" w:type="dxa"/>
          </w:tcPr>
          <w:p w:rsidR="00BD357C" w:rsidRPr="000D2DE4" w:rsidRDefault="006A26FA">
            <w:pPr>
              <w:cnfStyle w:val="000000100000" w:firstRow="0" w:lastRow="0" w:firstColumn="0" w:lastColumn="0" w:oddVBand="0" w:evenVBand="0" w:oddHBand="1" w:evenHBand="0" w:firstRowFirstColumn="0" w:firstRowLastColumn="0" w:lastRowFirstColumn="0" w:lastRowLastColumn="0"/>
              <w:rPr>
                <w:szCs w:val="20"/>
              </w:rPr>
            </w:pPr>
            <w:r>
              <w:rPr>
                <w:szCs w:val="20"/>
              </w:rPr>
              <w:t>Spring 10</w:t>
            </w:r>
          </w:p>
        </w:tc>
        <w:tc>
          <w:tcPr>
            <w:tcW w:w="3109" w:type="dxa"/>
          </w:tcPr>
          <w:p w:rsidR="00BD357C" w:rsidRPr="000D2DE4" w:rsidRDefault="006A26FA" w:rsidP="00F9215D">
            <w:pPr>
              <w:cnfStyle w:val="000000100000" w:firstRow="0" w:lastRow="0" w:firstColumn="0" w:lastColumn="0" w:oddVBand="0" w:evenVBand="0" w:oddHBand="1" w:evenHBand="0" w:firstRowFirstColumn="0" w:firstRowLastColumn="0" w:lastRowFirstColumn="0" w:lastRowLastColumn="0"/>
              <w:rPr>
                <w:szCs w:val="20"/>
              </w:rPr>
            </w:pPr>
            <w:r>
              <w:rPr>
                <w:szCs w:val="20"/>
              </w:rPr>
              <w:t>Delayed by weather</w:t>
            </w:r>
          </w:p>
        </w:tc>
      </w:tr>
      <w:tr w:rsidR="00BD357C" w:rsidTr="000D2DE4">
        <w:trPr>
          <w:trHeight w:val="275"/>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BD357C">
            <w:pPr>
              <w:rPr>
                <w:szCs w:val="20"/>
              </w:rPr>
            </w:pPr>
          </w:p>
        </w:tc>
        <w:tc>
          <w:tcPr>
            <w:tcW w:w="1092" w:type="dxa"/>
          </w:tcPr>
          <w:p w:rsidR="00BD357C" w:rsidRPr="000D2DE4" w:rsidRDefault="00BD357C">
            <w:pPr>
              <w:jc w:val="right"/>
              <w:cnfStyle w:val="000000000000" w:firstRow="0" w:lastRow="0" w:firstColumn="0" w:lastColumn="0" w:oddVBand="0" w:evenVBand="0" w:oddHBand="0" w:evenHBand="0" w:firstRowFirstColumn="0" w:firstRowLastColumn="0" w:lastRowFirstColumn="0" w:lastRowLastColumn="0"/>
              <w:rPr>
                <w:szCs w:val="20"/>
              </w:rPr>
            </w:pPr>
          </w:p>
        </w:tc>
        <w:tc>
          <w:tcPr>
            <w:tcW w:w="1176" w:type="dxa"/>
          </w:tcPr>
          <w:p w:rsidR="00BD357C" w:rsidRPr="000D2DE4" w:rsidRDefault="00BD357C">
            <w:pPr>
              <w:cnfStyle w:val="000000000000" w:firstRow="0" w:lastRow="0" w:firstColumn="0" w:lastColumn="0" w:oddVBand="0" w:evenVBand="0" w:oddHBand="0" w:evenHBand="0" w:firstRowFirstColumn="0" w:firstRowLastColumn="0" w:lastRowFirstColumn="0" w:lastRowLastColumn="0"/>
              <w:rPr>
                <w:szCs w:val="20"/>
              </w:rPr>
            </w:pPr>
          </w:p>
        </w:tc>
        <w:tc>
          <w:tcPr>
            <w:tcW w:w="3109" w:type="dxa"/>
          </w:tcPr>
          <w:p w:rsidR="00BD357C" w:rsidRPr="000D2DE4" w:rsidRDefault="00BD357C" w:rsidP="00F9215D">
            <w:pPr>
              <w:cnfStyle w:val="000000000000" w:firstRow="0" w:lastRow="0" w:firstColumn="0" w:lastColumn="0" w:oddVBand="0" w:evenVBand="0" w:oddHBand="0" w:evenHBand="0" w:firstRowFirstColumn="0" w:firstRowLastColumn="0" w:lastRowFirstColumn="0" w:lastRowLastColumn="0"/>
              <w:rPr>
                <w:szCs w:val="20"/>
              </w:rPr>
            </w:pPr>
          </w:p>
        </w:tc>
      </w:tr>
      <w:tr w:rsidR="00BD357C" w:rsidRPr="0010035E" w:rsidTr="00BD357C">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597" w:type="dxa"/>
            <w:hideMark/>
          </w:tcPr>
          <w:p w:rsidR="00BD357C" w:rsidRPr="000D2DE4" w:rsidRDefault="00BD357C" w:rsidP="007113CE">
            <w:pPr>
              <w:jc w:val="center"/>
              <w:rPr>
                <w:szCs w:val="20"/>
              </w:rPr>
            </w:pPr>
            <w:r w:rsidRPr="000D2DE4">
              <w:rPr>
                <w:rFonts w:cs="Tahoma"/>
                <w:bCs w:val="0"/>
                <w:szCs w:val="20"/>
              </w:rPr>
              <w:t> Budget item</w:t>
            </w:r>
          </w:p>
        </w:tc>
        <w:tc>
          <w:tcPr>
            <w:tcW w:w="1092" w:type="dxa"/>
            <w:hideMark/>
          </w:tcPr>
          <w:p w:rsidR="00BD357C" w:rsidRPr="000D2DE4" w:rsidRDefault="00BD357C" w:rsidP="00F9215D">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szCs w:val="20"/>
              </w:rPr>
              <w:t>Expense Amount</w:t>
            </w:r>
          </w:p>
        </w:tc>
        <w:tc>
          <w:tcPr>
            <w:tcW w:w="1176" w:type="dxa"/>
            <w:hideMark/>
          </w:tcPr>
          <w:p w:rsidR="00BD357C" w:rsidRPr="000D2DE4" w:rsidRDefault="00BD357C" w:rsidP="00F9215D">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szCs w:val="20"/>
              </w:rPr>
              <w:t>Expense Date</w:t>
            </w:r>
          </w:p>
        </w:tc>
        <w:tc>
          <w:tcPr>
            <w:tcW w:w="3109" w:type="dxa"/>
            <w:hideMark/>
          </w:tcPr>
          <w:p w:rsidR="00BD357C" w:rsidRPr="000D2DE4" w:rsidRDefault="00BD357C" w:rsidP="007113CE">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bCs/>
                <w:szCs w:val="20"/>
              </w:rPr>
              <w:t>Variations from Proposed Budget</w:t>
            </w:r>
          </w:p>
        </w:tc>
      </w:tr>
      <w:tr w:rsidR="00BD357C" w:rsidTr="000D2DE4">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Default="006A26FA" w:rsidP="00F9215D">
            <w:pPr>
              <w:rPr>
                <w:rFonts w:ascii="Verdana" w:hAnsi="Verdana"/>
              </w:rPr>
            </w:pPr>
            <w:r>
              <w:rPr>
                <w:rFonts w:ascii="Verdana" w:hAnsi="Verdana"/>
              </w:rPr>
              <w:t>UGL racks</w:t>
            </w:r>
          </w:p>
        </w:tc>
        <w:tc>
          <w:tcPr>
            <w:tcW w:w="1092" w:type="dxa"/>
          </w:tcPr>
          <w:p w:rsidR="00BD357C" w:rsidRDefault="006A26FA">
            <w:pPr>
              <w:cnfStyle w:val="000000000000" w:firstRow="0" w:lastRow="0" w:firstColumn="0" w:lastColumn="0" w:oddVBand="0" w:evenVBand="0" w:oddHBand="0" w:evenHBand="0" w:firstRowFirstColumn="0" w:firstRowLastColumn="0" w:lastRowFirstColumn="0" w:lastRowLastColumn="0"/>
            </w:pPr>
            <w:r>
              <w:t>$5178.27</w:t>
            </w:r>
          </w:p>
        </w:tc>
        <w:tc>
          <w:tcPr>
            <w:tcW w:w="1176" w:type="dxa"/>
          </w:tcPr>
          <w:p w:rsidR="00BD357C" w:rsidRDefault="006A26FA">
            <w:pPr>
              <w:cnfStyle w:val="000000000000" w:firstRow="0" w:lastRow="0" w:firstColumn="0" w:lastColumn="0" w:oddVBand="0" w:evenVBand="0" w:oddHBand="0" w:evenHBand="0" w:firstRowFirstColumn="0" w:firstRowLastColumn="0" w:lastRowFirstColumn="0" w:lastRowLastColumn="0"/>
            </w:pPr>
            <w:r>
              <w:t>Spring 2010</w:t>
            </w:r>
          </w:p>
        </w:tc>
        <w:tc>
          <w:tcPr>
            <w:tcW w:w="3109" w:type="dxa"/>
          </w:tcPr>
          <w:p w:rsidR="00BD357C" w:rsidRDefault="006A26FA" w:rsidP="00F9215D">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None</w:t>
            </w:r>
          </w:p>
        </w:tc>
      </w:tr>
      <w:tr w:rsidR="006A26FA" w:rsidTr="000D2DE4">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6A26FA" w:rsidP="00F9215D">
            <w:pPr>
              <w:rPr>
                <w:rFonts w:ascii="Verdana" w:hAnsi="Verdana"/>
              </w:rPr>
            </w:pPr>
            <w:r>
              <w:rPr>
                <w:rFonts w:ascii="Verdana" w:hAnsi="Verdana"/>
              </w:rPr>
              <w:t>Freer racks</w:t>
            </w:r>
          </w:p>
        </w:tc>
        <w:tc>
          <w:tcPr>
            <w:tcW w:w="1092" w:type="dxa"/>
          </w:tcPr>
          <w:p w:rsidR="006A26FA" w:rsidRDefault="006A26FA">
            <w:pPr>
              <w:cnfStyle w:val="000000100000" w:firstRow="0" w:lastRow="0" w:firstColumn="0" w:lastColumn="0" w:oddVBand="0" w:evenVBand="0" w:oddHBand="1" w:evenHBand="0" w:firstRowFirstColumn="0" w:firstRowLastColumn="0" w:lastRowFirstColumn="0" w:lastRowLastColumn="0"/>
            </w:pPr>
            <w:r>
              <w:t>$6726.41</w:t>
            </w:r>
          </w:p>
        </w:tc>
        <w:tc>
          <w:tcPr>
            <w:tcW w:w="1176" w:type="dxa"/>
          </w:tcPr>
          <w:p w:rsidR="006A26FA" w:rsidRDefault="006A26FA" w:rsidP="00672FFB">
            <w:pPr>
              <w:cnfStyle w:val="000000100000" w:firstRow="0" w:lastRow="0" w:firstColumn="0" w:lastColumn="0" w:oddVBand="0" w:evenVBand="0" w:oddHBand="1" w:evenHBand="0" w:firstRowFirstColumn="0" w:firstRowLastColumn="0" w:lastRowFirstColumn="0" w:lastRowLastColumn="0"/>
            </w:pPr>
            <w:r>
              <w:t>Spring 2010</w:t>
            </w:r>
          </w:p>
        </w:tc>
        <w:tc>
          <w:tcPr>
            <w:tcW w:w="3109" w:type="dxa"/>
          </w:tcPr>
          <w:p w:rsidR="006A26FA" w:rsidRDefault="006A26FA" w:rsidP="00672FFB">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None</w:t>
            </w:r>
          </w:p>
        </w:tc>
      </w:tr>
      <w:tr w:rsidR="006A26FA" w:rsidTr="000D2DE4">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6A26FA" w:rsidP="00F9215D">
            <w:pPr>
              <w:rPr>
                <w:rFonts w:ascii="Verdana" w:hAnsi="Verdana"/>
              </w:rPr>
            </w:pPr>
            <w:r>
              <w:rPr>
                <w:rFonts w:ascii="Verdana" w:hAnsi="Verdana"/>
              </w:rPr>
              <w:t>AESB racks</w:t>
            </w:r>
          </w:p>
        </w:tc>
        <w:tc>
          <w:tcPr>
            <w:tcW w:w="1092" w:type="dxa"/>
          </w:tcPr>
          <w:p w:rsidR="006A26FA" w:rsidRDefault="006A26FA">
            <w:pPr>
              <w:cnfStyle w:val="000000000000" w:firstRow="0" w:lastRow="0" w:firstColumn="0" w:lastColumn="0" w:oddVBand="0" w:evenVBand="0" w:oddHBand="0" w:evenHBand="0" w:firstRowFirstColumn="0" w:firstRowLastColumn="0" w:lastRowFirstColumn="0" w:lastRowLastColumn="0"/>
            </w:pPr>
            <w:r>
              <w:t>$1013.85</w:t>
            </w:r>
          </w:p>
        </w:tc>
        <w:tc>
          <w:tcPr>
            <w:tcW w:w="1176" w:type="dxa"/>
          </w:tcPr>
          <w:p w:rsidR="006A26FA" w:rsidRDefault="006A26FA" w:rsidP="00672FFB">
            <w:pPr>
              <w:cnfStyle w:val="000000000000" w:firstRow="0" w:lastRow="0" w:firstColumn="0" w:lastColumn="0" w:oddVBand="0" w:evenVBand="0" w:oddHBand="0" w:evenHBand="0" w:firstRowFirstColumn="0" w:firstRowLastColumn="0" w:lastRowFirstColumn="0" w:lastRowLastColumn="0"/>
            </w:pPr>
            <w:r>
              <w:t>Spring 2010</w:t>
            </w:r>
          </w:p>
        </w:tc>
        <w:tc>
          <w:tcPr>
            <w:tcW w:w="3109" w:type="dxa"/>
          </w:tcPr>
          <w:p w:rsidR="006A26FA" w:rsidRDefault="006A26FA" w:rsidP="00672FFB">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None</w:t>
            </w:r>
          </w:p>
        </w:tc>
      </w:tr>
      <w:tr w:rsidR="006A26FA" w:rsidTr="000D2DE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6A26FA" w:rsidP="00F9215D">
            <w:pPr>
              <w:rPr>
                <w:rFonts w:ascii="Verdana" w:hAnsi="Verdana"/>
              </w:rPr>
            </w:pPr>
            <w:proofErr w:type="spellStart"/>
            <w:r>
              <w:rPr>
                <w:rFonts w:ascii="Verdana" w:hAnsi="Verdana"/>
              </w:rPr>
              <w:t>Dept</w:t>
            </w:r>
            <w:proofErr w:type="spellEnd"/>
            <w:r>
              <w:rPr>
                <w:rFonts w:ascii="Verdana" w:hAnsi="Verdana"/>
              </w:rPr>
              <w:t xml:space="preserve"> cost share</w:t>
            </w:r>
          </w:p>
        </w:tc>
        <w:tc>
          <w:tcPr>
            <w:tcW w:w="1092" w:type="dxa"/>
          </w:tcPr>
          <w:p w:rsidR="006A26FA" w:rsidRDefault="006A26FA">
            <w:pPr>
              <w:cnfStyle w:val="000000100000" w:firstRow="0" w:lastRow="0" w:firstColumn="0" w:lastColumn="0" w:oddVBand="0" w:evenVBand="0" w:oddHBand="1" w:evenHBand="0" w:firstRowFirstColumn="0" w:firstRowLastColumn="0" w:lastRowFirstColumn="0" w:lastRowLastColumn="0"/>
            </w:pPr>
            <w:r>
              <w:t>($2,318.53)</w:t>
            </w:r>
          </w:p>
        </w:tc>
        <w:tc>
          <w:tcPr>
            <w:tcW w:w="1176" w:type="dxa"/>
          </w:tcPr>
          <w:p w:rsidR="006A26FA" w:rsidRDefault="006A26FA">
            <w:pPr>
              <w:cnfStyle w:val="000000100000" w:firstRow="0" w:lastRow="0" w:firstColumn="0" w:lastColumn="0" w:oddVBand="0" w:evenVBand="0" w:oddHBand="1" w:evenHBand="0" w:firstRowFirstColumn="0" w:firstRowLastColumn="0" w:lastRowFirstColumn="0" w:lastRowLastColumn="0"/>
            </w:pPr>
            <w:r>
              <w:t>Summer 2010</w:t>
            </w:r>
          </w:p>
        </w:tc>
        <w:tc>
          <w:tcPr>
            <w:tcW w:w="3109" w:type="dxa"/>
          </w:tcPr>
          <w:p w:rsidR="006A26FA" w:rsidRDefault="006A26FA" w:rsidP="00F9215D">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None</w:t>
            </w:r>
          </w:p>
          <w:p w:rsidR="006A26FA" w:rsidRDefault="006A26FA" w:rsidP="00F9215D">
            <w:pPr>
              <w:cnfStyle w:val="000000100000" w:firstRow="0" w:lastRow="0" w:firstColumn="0" w:lastColumn="0" w:oddVBand="0" w:evenVBand="0" w:oddHBand="1" w:evenHBand="0" w:firstRowFirstColumn="0" w:firstRowLastColumn="0" w:lastRowFirstColumn="0" w:lastRowLastColumn="0"/>
              <w:rPr>
                <w:rFonts w:ascii="Verdana" w:hAnsi="Verdana"/>
              </w:rPr>
            </w:pPr>
          </w:p>
        </w:tc>
      </w:tr>
    </w:tbl>
    <w:p w:rsidR="00946333" w:rsidRDefault="007113CE" w:rsidP="007113CE">
      <w:pPr>
        <w:pStyle w:val="Heading2"/>
      </w:pPr>
      <w:r>
        <w:t>Project Outreach</w:t>
      </w:r>
    </w:p>
    <w:p w:rsidR="00A547AD" w:rsidRDefault="00A547AD" w:rsidP="00A547AD">
      <w:r>
        <w:t>Please indicate how the project has been publicized (educational signage, newspaper, poster presentation, etc.). Please list publicity goals that have not yet been accomplished.</w:t>
      </w:r>
    </w:p>
    <w:p w:rsidR="006A26FA" w:rsidRDefault="006A26FA" w:rsidP="00A547AD">
      <w:r>
        <w:lastRenderedPageBreak/>
        <w:t>The project was publicized with stickers on the racks.  The stickers say “Partially funded by the Student Sustainability Committee.”</w:t>
      </w:r>
      <w:r w:rsidR="007862C4">
        <w:t xml:space="preserve">  The existence of the racks did</w:t>
      </w:r>
      <w:r>
        <w:t xml:space="preserve"> a lot for telling people about the project, since users immediately began using them.  Additionally, there was a press release in 2009 about the project, which explained how the SSC funded the project.</w:t>
      </w:r>
    </w:p>
    <w:p w:rsidR="006A26FA" w:rsidRDefault="006A26FA" w:rsidP="00A547AD">
      <w:bookmarkStart w:id="0" w:name="_GoBack"/>
      <w:bookmarkEnd w:id="0"/>
    </w:p>
    <w:p w:rsidR="006A26FA" w:rsidRPr="00A547AD" w:rsidRDefault="006A26FA" w:rsidP="00A547AD"/>
    <w:p w:rsidR="00946333" w:rsidRDefault="00946333"/>
    <w:sectPr w:rsidR="00946333" w:rsidSect="00DE6B8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3D" w:rsidRDefault="00DB103D" w:rsidP="000D2DE4">
      <w:pPr>
        <w:spacing w:after="0" w:line="240" w:lineRule="auto"/>
      </w:pPr>
      <w:r>
        <w:separator/>
      </w:r>
    </w:p>
  </w:endnote>
  <w:endnote w:type="continuationSeparator" w:id="0">
    <w:p w:rsidR="00DB103D" w:rsidRDefault="00DB103D" w:rsidP="000D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3D" w:rsidRDefault="00DB103D" w:rsidP="000D2DE4">
      <w:pPr>
        <w:spacing w:after="0" w:line="240" w:lineRule="auto"/>
      </w:pPr>
      <w:r>
        <w:separator/>
      </w:r>
    </w:p>
  </w:footnote>
  <w:footnote w:type="continuationSeparator" w:id="0">
    <w:p w:rsidR="00DB103D" w:rsidRDefault="00DB103D" w:rsidP="000D2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E4" w:rsidRDefault="000D2DE4" w:rsidP="000D2DE4">
    <w:pPr>
      <w:pStyle w:val="Heading1"/>
    </w:pPr>
    <w:r>
      <w:t xml:space="preserve">Status Update for </w:t>
    </w:r>
    <w:r w:rsidR="0018319C">
      <w:t xml:space="preserve">Bike Parking on Campus </w:t>
    </w:r>
    <w:r w:rsidR="00F10F3E">
      <w:t xml:space="preserve">part 1 of 2 </w:t>
    </w:r>
    <w:r w:rsidR="0018319C">
      <w:t>(426BPC)</w:t>
    </w:r>
  </w:p>
  <w:p w:rsidR="000D2DE4" w:rsidRDefault="000D2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91"/>
    <w:rsid w:val="000D2DE4"/>
    <w:rsid w:val="0010035E"/>
    <w:rsid w:val="0018319C"/>
    <w:rsid w:val="003D536B"/>
    <w:rsid w:val="004754FA"/>
    <w:rsid w:val="006A26FA"/>
    <w:rsid w:val="007113CE"/>
    <w:rsid w:val="007862C4"/>
    <w:rsid w:val="0085243D"/>
    <w:rsid w:val="008C0485"/>
    <w:rsid w:val="00946333"/>
    <w:rsid w:val="00A547AD"/>
    <w:rsid w:val="00BD357C"/>
    <w:rsid w:val="00CF2350"/>
    <w:rsid w:val="00D126D3"/>
    <w:rsid w:val="00D175D5"/>
    <w:rsid w:val="00D70B91"/>
    <w:rsid w:val="00DB103D"/>
    <w:rsid w:val="00DE6B83"/>
    <w:rsid w:val="00F1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3D"/>
    <w:rPr>
      <w:sz w:val="20"/>
    </w:rPr>
  </w:style>
  <w:style w:type="paragraph" w:styleId="Heading1">
    <w:name w:val="heading 1"/>
    <w:basedOn w:val="Normal"/>
    <w:next w:val="Normal"/>
    <w:link w:val="Heading1Char"/>
    <w:uiPriority w:val="9"/>
    <w:qFormat/>
    <w:rsid w:val="00946333"/>
    <w:pPr>
      <w:keepNext/>
      <w:keepLines/>
      <w:spacing w:before="480" w:after="0"/>
      <w:outlineLvl w:val="0"/>
    </w:pPr>
    <w:rPr>
      <w:rFonts w:asciiTheme="majorHAnsi" w:eastAsiaTheme="majorEastAsia" w:hAnsiTheme="majorHAnsi" w:cstheme="majorBidi"/>
      <w:b/>
      <w:bCs/>
      <w:color w:val="872125" w:themeColor="accent1" w:themeShade="BF"/>
      <w:sz w:val="28"/>
      <w:szCs w:val="28"/>
    </w:rPr>
  </w:style>
  <w:style w:type="paragraph" w:styleId="Heading2">
    <w:name w:val="heading 2"/>
    <w:basedOn w:val="Normal"/>
    <w:next w:val="Normal"/>
    <w:link w:val="Heading2Char"/>
    <w:uiPriority w:val="9"/>
    <w:unhideWhenUsed/>
    <w:qFormat/>
    <w:rsid w:val="0085243D"/>
    <w:pPr>
      <w:keepNext/>
      <w:keepLines/>
      <w:spacing w:before="200" w:after="0"/>
      <w:outlineLvl w:val="1"/>
    </w:pPr>
    <w:rPr>
      <w:rFonts w:asciiTheme="majorHAnsi" w:eastAsiaTheme="majorEastAsia" w:hAnsiTheme="majorHAnsi" w:cstheme="majorBidi"/>
      <w:b/>
      <w:bCs/>
      <w:color w:val="B52D3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33"/>
    <w:rPr>
      <w:rFonts w:asciiTheme="majorHAnsi" w:eastAsiaTheme="majorEastAsia" w:hAnsiTheme="majorHAnsi" w:cstheme="majorBidi"/>
      <w:b/>
      <w:bCs/>
      <w:color w:val="872125" w:themeColor="accent1" w:themeShade="BF"/>
      <w:sz w:val="28"/>
      <w:szCs w:val="28"/>
    </w:rPr>
  </w:style>
  <w:style w:type="table" w:styleId="TableGrid">
    <w:name w:val="Table Grid"/>
    <w:basedOn w:val="TableNormal"/>
    <w:uiPriority w:val="59"/>
    <w:rsid w:val="0094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0035E"/>
    <w:pPr>
      <w:spacing w:after="0" w:line="240" w:lineRule="auto"/>
    </w:pPr>
    <w:rPr>
      <w:color w:val="476C98" w:themeColor="accent5" w:themeShade="BF"/>
    </w:rPr>
    <w:tblPr>
      <w:tblStyleRowBandSize w:val="1"/>
      <w:tblStyleColBandSize w:val="1"/>
      <w:tblInd w:w="0" w:type="dxa"/>
      <w:tblBorders>
        <w:top w:val="single" w:sz="8" w:space="0" w:color="7093BC" w:themeColor="accent5"/>
        <w:bottom w:val="single" w:sz="8" w:space="0" w:color="7093B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la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4EE" w:themeFill="accent5" w:themeFillTint="3F"/>
      </w:tcPr>
    </w:tblStylePr>
    <w:tblStylePr w:type="band1Horz">
      <w:tblPr/>
      <w:tcPr>
        <w:tcBorders>
          <w:left w:val="nil"/>
          <w:right w:val="nil"/>
          <w:insideH w:val="nil"/>
          <w:insideV w:val="nil"/>
        </w:tcBorders>
        <w:shd w:val="clear" w:color="auto" w:fill="DBE4EE" w:themeFill="accent5" w:themeFillTint="3F"/>
      </w:tcPr>
    </w:tblStylePr>
  </w:style>
  <w:style w:type="character" w:styleId="CommentReference">
    <w:name w:val="annotation reference"/>
    <w:basedOn w:val="DefaultParagraphFont"/>
    <w:uiPriority w:val="99"/>
    <w:semiHidden/>
    <w:unhideWhenUsed/>
    <w:rsid w:val="0085243D"/>
    <w:rPr>
      <w:sz w:val="16"/>
      <w:szCs w:val="16"/>
    </w:rPr>
  </w:style>
  <w:style w:type="paragraph" w:styleId="CommentText">
    <w:name w:val="annotation text"/>
    <w:basedOn w:val="Normal"/>
    <w:link w:val="CommentTextChar"/>
    <w:uiPriority w:val="99"/>
    <w:semiHidden/>
    <w:unhideWhenUsed/>
    <w:rsid w:val="0085243D"/>
    <w:pPr>
      <w:spacing w:line="240" w:lineRule="auto"/>
    </w:pPr>
    <w:rPr>
      <w:szCs w:val="20"/>
    </w:rPr>
  </w:style>
  <w:style w:type="character" w:customStyle="1" w:styleId="CommentTextChar">
    <w:name w:val="Comment Text Char"/>
    <w:basedOn w:val="DefaultParagraphFont"/>
    <w:link w:val="CommentText"/>
    <w:uiPriority w:val="99"/>
    <w:semiHidden/>
    <w:rsid w:val="0085243D"/>
    <w:rPr>
      <w:sz w:val="20"/>
      <w:szCs w:val="20"/>
    </w:rPr>
  </w:style>
  <w:style w:type="paragraph" w:styleId="CommentSubject">
    <w:name w:val="annotation subject"/>
    <w:basedOn w:val="CommentText"/>
    <w:next w:val="CommentText"/>
    <w:link w:val="CommentSubjectChar"/>
    <w:uiPriority w:val="99"/>
    <w:semiHidden/>
    <w:unhideWhenUsed/>
    <w:rsid w:val="0085243D"/>
    <w:rPr>
      <w:b/>
      <w:bCs/>
    </w:rPr>
  </w:style>
  <w:style w:type="character" w:customStyle="1" w:styleId="CommentSubjectChar">
    <w:name w:val="Comment Subject Char"/>
    <w:basedOn w:val="CommentTextChar"/>
    <w:link w:val="CommentSubject"/>
    <w:uiPriority w:val="99"/>
    <w:semiHidden/>
    <w:rsid w:val="0085243D"/>
    <w:rPr>
      <w:b/>
      <w:bCs/>
      <w:sz w:val="20"/>
      <w:szCs w:val="20"/>
    </w:rPr>
  </w:style>
  <w:style w:type="paragraph" w:styleId="BalloonText">
    <w:name w:val="Balloon Text"/>
    <w:basedOn w:val="Normal"/>
    <w:link w:val="BalloonTextChar"/>
    <w:uiPriority w:val="99"/>
    <w:semiHidden/>
    <w:unhideWhenUsed/>
    <w:rsid w:val="0085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3D"/>
    <w:rPr>
      <w:rFonts w:ascii="Tahoma" w:hAnsi="Tahoma" w:cs="Tahoma"/>
      <w:sz w:val="16"/>
      <w:szCs w:val="16"/>
    </w:rPr>
  </w:style>
  <w:style w:type="character" w:customStyle="1" w:styleId="Heading2Char">
    <w:name w:val="Heading 2 Char"/>
    <w:basedOn w:val="DefaultParagraphFont"/>
    <w:link w:val="Heading2"/>
    <w:uiPriority w:val="9"/>
    <w:rsid w:val="0085243D"/>
    <w:rPr>
      <w:rFonts w:asciiTheme="majorHAnsi" w:eastAsiaTheme="majorEastAsia" w:hAnsiTheme="majorHAnsi" w:cstheme="majorBidi"/>
      <w:b/>
      <w:bCs/>
      <w:color w:val="B52D32" w:themeColor="accent1"/>
      <w:sz w:val="26"/>
      <w:szCs w:val="26"/>
    </w:rPr>
  </w:style>
  <w:style w:type="paragraph" w:styleId="Header">
    <w:name w:val="header"/>
    <w:basedOn w:val="Normal"/>
    <w:link w:val="HeaderChar"/>
    <w:uiPriority w:val="99"/>
    <w:unhideWhenUsed/>
    <w:rsid w:val="000D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E4"/>
    <w:rPr>
      <w:sz w:val="20"/>
    </w:rPr>
  </w:style>
  <w:style w:type="paragraph" w:styleId="Footer">
    <w:name w:val="footer"/>
    <w:basedOn w:val="Normal"/>
    <w:link w:val="FooterChar"/>
    <w:uiPriority w:val="99"/>
    <w:unhideWhenUsed/>
    <w:rsid w:val="000D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E4"/>
    <w:rPr>
      <w:sz w:val="20"/>
    </w:rPr>
  </w:style>
  <w:style w:type="paragraph" w:styleId="NoSpacing">
    <w:name w:val="No Spacing"/>
    <w:uiPriority w:val="1"/>
    <w:qFormat/>
    <w:rsid w:val="00D126D3"/>
    <w:pPr>
      <w:spacing w:after="0" w:line="240" w:lineRule="auto"/>
    </w:pPr>
    <w:rPr>
      <w:sz w:val="20"/>
    </w:rPr>
  </w:style>
  <w:style w:type="character" w:styleId="Hyperlink">
    <w:name w:val="Hyperlink"/>
    <w:basedOn w:val="DefaultParagraphFont"/>
    <w:uiPriority w:val="99"/>
    <w:unhideWhenUsed/>
    <w:rsid w:val="00D126D3"/>
    <w:rPr>
      <w:color w:val="9B73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3D"/>
    <w:rPr>
      <w:sz w:val="20"/>
    </w:rPr>
  </w:style>
  <w:style w:type="paragraph" w:styleId="Heading1">
    <w:name w:val="heading 1"/>
    <w:basedOn w:val="Normal"/>
    <w:next w:val="Normal"/>
    <w:link w:val="Heading1Char"/>
    <w:uiPriority w:val="9"/>
    <w:qFormat/>
    <w:rsid w:val="00946333"/>
    <w:pPr>
      <w:keepNext/>
      <w:keepLines/>
      <w:spacing w:before="480" w:after="0"/>
      <w:outlineLvl w:val="0"/>
    </w:pPr>
    <w:rPr>
      <w:rFonts w:asciiTheme="majorHAnsi" w:eastAsiaTheme="majorEastAsia" w:hAnsiTheme="majorHAnsi" w:cstheme="majorBidi"/>
      <w:b/>
      <w:bCs/>
      <w:color w:val="872125" w:themeColor="accent1" w:themeShade="BF"/>
      <w:sz w:val="28"/>
      <w:szCs w:val="28"/>
    </w:rPr>
  </w:style>
  <w:style w:type="paragraph" w:styleId="Heading2">
    <w:name w:val="heading 2"/>
    <w:basedOn w:val="Normal"/>
    <w:next w:val="Normal"/>
    <w:link w:val="Heading2Char"/>
    <w:uiPriority w:val="9"/>
    <w:unhideWhenUsed/>
    <w:qFormat/>
    <w:rsid w:val="0085243D"/>
    <w:pPr>
      <w:keepNext/>
      <w:keepLines/>
      <w:spacing w:before="200" w:after="0"/>
      <w:outlineLvl w:val="1"/>
    </w:pPr>
    <w:rPr>
      <w:rFonts w:asciiTheme="majorHAnsi" w:eastAsiaTheme="majorEastAsia" w:hAnsiTheme="majorHAnsi" w:cstheme="majorBidi"/>
      <w:b/>
      <w:bCs/>
      <w:color w:val="B52D3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33"/>
    <w:rPr>
      <w:rFonts w:asciiTheme="majorHAnsi" w:eastAsiaTheme="majorEastAsia" w:hAnsiTheme="majorHAnsi" w:cstheme="majorBidi"/>
      <w:b/>
      <w:bCs/>
      <w:color w:val="872125" w:themeColor="accent1" w:themeShade="BF"/>
      <w:sz w:val="28"/>
      <w:szCs w:val="28"/>
    </w:rPr>
  </w:style>
  <w:style w:type="table" w:styleId="TableGrid">
    <w:name w:val="Table Grid"/>
    <w:basedOn w:val="TableNormal"/>
    <w:uiPriority w:val="59"/>
    <w:rsid w:val="0094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0035E"/>
    <w:pPr>
      <w:spacing w:after="0" w:line="240" w:lineRule="auto"/>
    </w:pPr>
    <w:rPr>
      <w:color w:val="476C98" w:themeColor="accent5" w:themeShade="BF"/>
    </w:rPr>
    <w:tblPr>
      <w:tblStyleRowBandSize w:val="1"/>
      <w:tblStyleColBandSize w:val="1"/>
      <w:tblInd w:w="0" w:type="dxa"/>
      <w:tblBorders>
        <w:top w:val="single" w:sz="8" w:space="0" w:color="7093BC" w:themeColor="accent5"/>
        <w:bottom w:val="single" w:sz="8" w:space="0" w:color="7093B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la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4EE" w:themeFill="accent5" w:themeFillTint="3F"/>
      </w:tcPr>
    </w:tblStylePr>
    <w:tblStylePr w:type="band1Horz">
      <w:tblPr/>
      <w:tcPr>
        <w:tcBorders>
          <w:left w:val="nil"/>
          <w:right w:val="nil"/>
          <w:insideH w:val="nil"/>
          <w:insideV w:val="nil"/>
        </w:tcBorders>
        <w:shd w:val="clear" w:color="auto" w:fill="DBE4EE" w:themeFill="accent5" w:themeFillTint="3F"/>
      </w:tcPr>
    </w:tblStylePr>
  </w:style>
  <w:style w:type="character" w:styleId="CommentReference">
    <w:name w:val="annotation reference"/>
    <w:basedOn w:val="DefaultParagraphFont"/>
    <w:uiPriority w:val="99"/>
    <w:semiHidden/>
    <w:unhideWhenUsed/>
    <w:rsid w:val="0085243D"/>
    <w:rPr>
      <w:sz w:val="16"/>
      <w:szCs w:val="16"/>
    </w:rPr>
  </w:style>
  <w:style w:type="paragraph" w:styleId="CommentText">
    <w:name w:val="annotation text"/>
    <w:basedOn w:val="Normal"/>
    <w:link w:val="CommentTextChar"/>
    <w:uiPriority w:val="99"/>
    <w:semiHidden/>
    <w:unhideWhenUsed/>
    <w:rsid w:val="0085243D"/>
    <w:pPr>
      <w:spacing w:line="240" w:lineRule="auto"/>
    </w:pPr>
    <w:rPr>
      <w:szCs w:val="20"/>
    </w:rPr>
  </w:style>
  <w:style w:type="character" w:customStyle="1" w:styleId="CommentTextChar">
    <w:name w:val="Comment Text Char"/>
    <w:basedOn w:val="DefaultParagraphFont"/>
    <w:link w:val="CommentText"/>
    <w:uiPriority w:val="99"/>
    <w:semiHidden/>
    <w:rsid w:val="0085243D"/>
    <w:rPr>
      <w:sz w:val="20"/>
      <w:szCs w:val="20"/>
    </w:rPr>
  </w:style>
  <w:style w:type="paragraph" w:styleId="CommentSubject">
    <w:name w:val="annotation subject"/>
    <w:basedOn w:val="CommentText"/>
    <w:next w:val="CommentText"/>
    <w:link w:val="CommentSubjectChar"/>
    <w:uiPriority w:val="99"/>
    <w:semiHidden/>
    <w:unhideWhenUsed/>
    <w:rsid w:val="0085243D"/>
    <w:rPr>
      <w:b/>
      <w:bCs/>
    </w:rPr>
  </w:style>
  <w:style w:type="character" w:customStyle="1" w:styleId="CommentSubjectChar">
    <w:name w:val="Comment Subject Char"/>
    <w:basedOn w:val="CommentTextChar"/>
    <w:link w:val="CommentSubject"/>
    <w:uiPriority w:val="99"/>
    <w:semiHidden/>
    <w:rsid w:val="0085243D"/>
    <w:rPr>
      <w:b/>
      <w:bCs/>
      <w:sz w:val="20"/>
      <w:szCs w:val="20"/>
    </w:rPr>
  </w:style>
  <w:style w:type="paragraph" w:styleId="BalloonText">
    <w:name w:val="Balloon Text"/>
    <w:basedOn w:val="Normal"/>
    <w:link w:val="BalloonTextChar"/>
    <w:uiPriority w:val="99"/>
    <w:semiHidden/>
    <w:unhideWhenUsed/>
    <w:rsid w:val="0085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3D"/>
    <w:rPr>
      <w:rFonts w:ascii="Tahoma" w:hAnsi="Tahoma" w:cs="Tahoma"/>
      <w:sz w:val="16"/>
      <w:szCs w:val="16"/>
    </w:rPr>
  </w:style>
  <w:style w:type="character" w:customStyle="1" w:styleId="Heading2Char">
    <w:name w:val="Heading 2 Char"/>
    <w:basedOn w:val="DefaultParagraphFont"/>
    <w:link w:val="Heading2"/>
    <w:uiPriority w:val="9"/>
    <w:rsid w:val="0085243D"/>
    <w:rPr>
      <w:rFonts w:asciiTheme="majorHAnsi" w:eastAsiaTheme="majorEastAsia" w:hAnsiTheme="majorHAnsi" w:cstheme="majorBidi"/>
      <w:b/>
      <w:bCs/>
      <w:color w:val="B52D32" w:themeColor="accent1"/>
      <w:sz w:val="26"/>
      <w:szCs w:val="26"/>
    </w:rPr>
  </w:style>
  <w:style w:type="paragraph" w:styleId="Header">
    <w:name w:val="header"/>
    <w:basedOn w:val="Normal"/>
    <w:link w:val="HeaderChar"/>
    <w:uiPriority w:val="99"/>
    <w:unhideWhenUsed/>
    <w:rsid w:val="000D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E4"/>
    <w:rPr>
      <w:sz w:val="20"/>
    </w:rPr>
  </w:style>
  <w:style w:type="paragraph" w:styleId="Footer">
    <w:name w:val="footer"/>
    <w:basedOn w:val="Normal"/>
    <w:link w:val="FooterChar"/>
    <w:uiPriority w:val="99"/>
    <w:unhideWhenUsed/>
    <w:rsid w:val="000D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E4"/>
    <w:rPr>
      <w:sz w:val="20"/>
    </w:rPr>
  </w:style>
  <w:style w:type="paragraph" w:styleId="NoSpacing">
    <w:name w:val="No Spacing"/>
    <w:uiPriority w:val="1"/>
    <w:qFormat/>
    <w:rsid w:val="00D126D3"/>
    <w:pPr>
      <w:spacing w:after="0" w:line="240" w:lineRule="auto"/>
    </w:pPr>
    <w:rPr>
      <w:sz w:val="20"/>
    </w:rPr>
  </w:style>
  <w:style w:type="character" w:styleId="Hyperlink">
    <w:name w:val="Hyperlink"/>
    <w:basedOn w:val="DefaultParagraphFont"/>
    <w:uiPriority w:val="99"/>
    <w:unhideWhenUsed/>
    <w:rsid w:val="00D126D3"/>
    <w:rPr>
      <w:color w:val="9B73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54256">
      <w:bodyDiv w:val="1"/>
      <w:marLeft w:val="0"/>
      <w:marRight w:val="0"/>
      <w:marTop w:val="0"/>
      <w:marBottom w:val="0"/>
      <w:divBdr>
        <w:top w:val="none" w:sz="0" w:space="0" w:color="auto"/>
        <w:left w:val="none" w:sz="0" w:space="0" w:color="auto"/>
        <w:bottom w:val="none" w:sz="0" w:space="0" w:color="auto"/>
        <w:right w:val="none" w:sz="0" w:space="0" w:color="auto"/>
      </w:divBdr>
    </w:div>
    <w:div w:id="479810113">
      <w:bodyDiv w:val="1"/>
      <w:marLeft w:val="0"/>
      <w:marRight w:val="0"/>
      <w:marTop w:val="0"/>
      <w:marBottom w:val="0"/>
      <w:divBdr>
        <w:top w:val="none" w:sz="0" w:space="0" w:color="auto"/>
        <w:left w:val="none" w:sz="0" w:space="0" w:color="auto"/>
        <w:bottom w:val="none" w:sz="0" w:space="0" w:color="auto"/>
        <w:right w:val="none" w:sz="0" w:space="0" w:color="auto"/>
      </w:divBdr>
    </w:div>
    <w:div w:id="736897900">
      <w:bodyDiv w:val="1"/>
      <w:marLeft w:val="0"/>
      <w:marRight w:val="0"/>
      <w:marTop w:val="0"/>
      <w:marBottom w:val="0"/>
      <w:divBdr>
        <w:top w:val="none" w:sz="0" w:space="0" w:color="auto"/>
        <w:left w:val="none" w:sz="0" w:space="0" w:color="auto"/>
        <w:bottom w:val="none" w:sz="0" w:space="0" w:color="auto"/>
        <w:right w:val="none" w:sz="0" w:space="0" w:color="auto"/>
      </w:divBdr>
    </w:div>
    <w:div w:id="975524612">
      <w:bodyDiv w:val="1"/>
      <w:marLeft w:val="0"/>
      <w:marRight w:val="0"/>
      <w:marTop w:val="0"/>
      <w:marBottom w:val="0"/>
      <w:divBdr>
        <w:top w:val="none" w:sz="0" w:space="0" w:color="auto"/>
        <w:left w:val="none" w:sz="0" w:space="0" w:color="auto"/>
        <w:bottom w:val="none" w:sz="0" w:space="0" w:color="auto"/>
        <w:right w:val="none" w:sz="0" w:space="0" w:color="auto"/>
      </w:divBdr>
    </w:div>
    <w:div w:id="127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bjohnst@illinois.edu" TargetMode="Externa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verag\AppData\Roaming\Microsoft\Templates\TP030000298.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uman">
  <a:themeElements>
    <a:clrScheme name="Human">
      <a:dk1>
        <a:sysClr val="windowText" lastClr="000000"/>
      </a:dk1>
      <a:lt1>
        <a:sysClr val="window" lastClr="FFFFFF"/>
      </a:lt1>
      <a:dk2>
        <a:srgbClr val="7E5D39"/>
      </a:dk2>
      <a:lt2>
        <a:srgbClr val="F7EEDD"/>
      </a:lt2>
      <a:accent1>
        <a:srgbClr val="B52D32"/>
      </a:accent1>
      <a:accent2>
        <a:srgbClr val="39386A"/>
      </a:accent2>
      <a:accent3>
        <a:srgbClr val="647EA1"/>
      </a:accent3>
      <a:accent4>
        <a:srgbClr val="275C99"/>
      </a:accent4>
      <a:accent5>
        <a:srgbClr val="7093BC"/>
      </a:accent5>
      <a:accent6>
        <a:srgbClr val="A9BED6"/>
      </a:accent6>
      <a:hlink>
        <a:srgbClr val="9B7300"/>
      </a:hlink>
      <a:folHlink>
        <a:srgbClr val="D6A73B"/>
      </a:folHlink>
    </a:clrScheme>
    <a:fontScheme name="Human">
      <a:majorFont>
        <a:latin typeface="Georgia"/>
        <a:ea typeface=""/>
        <a:cs typeface=""/>
      </a:majorFont>
      <a:minorFont>
        <a:latin typeface="Gill Sans MT"/>
        <a:ea typeface=""/>
        <a:cs typeface=""/>
      </a:minorFont>
    </a:fontScheme>
    <a:fmtScheme name="Human">
      <a:fillStyleLst>
        <a:solidFill>
          <a:schemeClr val="phClr">
            <a:tint val="100000"/>
          </a:schemeClr>
        </a:solidFill>
        <a:gradFill>
          <a:gsLst>
            <a:gs pos="0">
              <a:schemeClr val="phClr">
                <a:sat val="100000"/>
                <a:lum val="97500"/>
              </a:schemeClr>
            </a:gs>
            <a:gs pos="90000">
              <a:schemeClr val="phClr">
                <a:sat val="51300"/>
                <a:lum val="70185"/>
              </a:schemeClr>
            </a:gs>
            <a:gs pos="100000">
              <a:schemeClr val="phClr">
                <a:sat val="51300"/>
                <a:lum val="65185"/>
              </a:schemeClr>
            </a:gs>
          </a:gsLst>
          <a:lin ang="7800000" scaled="1"/>
        </a:gradFill>
        <a:gradFill>
          <a:gsLst>
            <a:gs pos="0">
              <a:schemeClr val="phClr">
                <a:sat val="88900"/>
                <a:lum val="81880"/>
              </a:schemeClr>
            </a:gs>
            <a:gs pos="52000">
              <a:schemeClr val="phClr">
                <a:sat val="53000"/>
                <a:lum val="59139"/>
              </a:schemeClr>
            </a:gs>
            <a:gs pos="100000">
              <a:schemeClr val="phClr">
                <a:sat val="52000"/>
                <a:lum val="38600"/>
              </a:schemeClr>
            </a:gs>
          </a:gsLst>
          <a:lin ang="7800000" scaled="1"/>
        </a:gradFill>
      </a:fillStyleLst>
      <a:lnStyleLst>
        <a:ln w="9525">
          <a:solidFill>
            <a:schemeClr val="phClr"/>
          </a:solidFill>
          <a:prstDash val="solid"/>
        </a:ln>
        <a:ln w="12700">
          <a:solidFill>
            <a:schemeClr val="phClr"/>
          </a:solidFill>
          <a:prstDash val="solid"/>
        </a:ln>
        <a:ln w="28100">
          <a:solidFill>
            <a:schemeClr val="phClr"/>
          </a:solidFill>
          <a:prstDash val="solid"/>
        </a:ln>
      </a:lnStyleLst>
      <a:effectStyleLst>
        <a:effectStyle>
          <a:effectLst>
            <a:outerShdw blurRad="56280" dist="29000" dir="9000000">
              <a:srgbClr val="1A0000">
                <a:alpha val="25000"/>
              </a:srgbClr>
            </a:outerShdw>
          </a:effectLst>
        </a:effectStyle>
        <a:effectStyle>
          <a:effectLst>
            <a:outerShdw blurRad="56280" dist="40000" dir="9000000">
              <a:srgbClr val="1A0000">
                <a:alpha val="25000"/>
              </a:srgbClr>
            </a:outerShdw>
          </a:effectLst>
        </a:effectStyle>
        <a:effectStyle>
          <a:effectLst>
            <a:outerShdw blurRad="90800" dir="9000000">
              <a:srgbClr val="000000">
                <a:alpha val="25000"/>
              </a:srgbClr>
            </a:outerShdw>
          </a:effectLst>
          <a:scene3d>
            <a:camera prst="perspectiveFront">
              <a:rot lat="0" lon="0" rev="0"/>
            </a:camera>
            <a:lightRig rig="threePt" dir="tr">
              <a:rot lat="0" lon="0" rev="0"/>
            </a:lightRig>
          </a:scene3d>
          <a:sp3d>
            <a:bevelT w="121925" h="25400" prst="cross"/>
          </a:sp3d>
        </a:effectStyle>
      </a:effectStyleLst>
      <a:bgFillStyleLst>
        <a:solidFill>
          <a:schemeClr val="phClr">
            <a:tint val="100000"/>
          </a:schemeClr>
        </a:solidFill>
        <a:gradFill>
          <a:gsLst>
            <a:gs pos="0">
              <a:schemeClr val="phClr">
                <a:sat val="60000"/>
                <a:lum val="95000"/>
              </a:schemeClr>
            </a:gs>
            <a:gs pos="83000">
              <a:schemeClr val="phClr">
                <a:sat val="57500"/>
                <a:lum val="80000"/>
              </a:schemeClr>
            </a:gs>
          </a:gsLst>
          <a:path path="circle">
            <a:fillToRect l="50000" t="50000" r="50000" b="50000"/>
          </a:path>
        </a:gradFill>
        <a:blipFill rotWithShape="0">
          <a:blip xmlns:r="http://schemas.openxmlformats.org/officeDocument/2006/relationships" r:embed="rId1">
            <a:duotone>
              <a:srgbClr val="663300"/>
              <a:schemeClr val="phClr">
                <a:tint val="80000"/>
              </a:schemeClr>
            </a:duotone>
          </a:blip>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C349FF-F9BF-40A0-A5B4-7B24A8EF9241}"/>
</file>

<file path=customXml/itemProps2.xml><?xml version="1.0" encoding="utf-8"?>
<ds:datastoreItem xmlns:ds="http://schemas.openxmlformats.org/officeDocument/2006/customXml" ds:itemID="{93D30A77-0E00-4155-B1BC-1AB4BB125FC1}">
  <ds:schemaRefs>
    <ds:schemaRef ds:uri="http://schemas.openxmlformats.org/officeDocument/2006/bibliography"/>
  </ds:schemaRefs>
</ds:datastoreItem>
</file>

<file path=customXml/itemProps3.xml><?xml version="1.0" encoding="utf-8"?>
<ds:datastoreItem xmlns:ds="http://schemas.openxmlformats.org/officeDocument/2006/customXml" ds:itemID="{3A369557-167E-46F7-8039-CB2DEE4AE1EE}"/>
</file>

<file path=customXml/itemProps4.xml><?xml version="1.0" encoding="utf-8"?>
<ds:datastoreItem xmlns:ds="http://schemas.openxmlformats.org/officeDocument/2006/customXml" ds:itemID="{B658E7D4-79A6-47CE-850D-D9E29AA5F39E}"/>
</file>

<file path=docProps/app.xml><?xml version="1.0" encoding="utf-8"?>
<Properties xmlns="http://schemas.openxmlformats.org/officeDocument/2006/extended-properties" xmlns:vt="http://schemas.openxmlformats.org/officeDocument/2006/docPropsVTypes">
  <Template>TP030000298.dotx</Template>
  <TotalTime>8</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Morgan Johnston</cp:lastModifiedBy>
  <cp:revision>3</cp:revision>
  <dcterms:created xsi:type="dcterms:W3CDTF">2012-11-07T16:56:00Z</dcterms:created>
  <dcterms:modified xsi:type="dcterms:W3CDTF">2012-11-25T18:54:00Z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TC300002989990</vt:lpwstr>
  </property>
  <property fmtid="{D5CDD505-2E9C-101B-9397-08002B2CF9AE}" pid="3" name="ContentTypeId">
    <vt:lpwstr>0x0101003008281C04845448BB7FBA6A1B41A74C</vt:lpwstr>
  </property>
</Properties>
</file>