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EB5" w:rsidRPr="00685203" w:rsidRDefault="008678E7" w:rsidP="00111C29">
      <w:pPr>
        <w:jc w:val="left"/>
        <w:rPr>
          <w:rFonts w:asciiTheme="minorHAnsi" w:hAnsiTheme="minorHAnsi" w:cstheme="minorHAnsi"/>
          <w:b/>
          <w:sz w:val="40"/>
          <w:u w:val="single"/>
        </w:rPr>
      </w:pPr>
      <w:proofErr w:type="spellStart"/>
      <w:r w:rsidRPr="00685203">
        <w:rPr>
          <w:rFonts w:asciiTheme="minorHAnsi" w:hAnsiTheme="minorHAnsi" w:cstheme="minorHAnsi"/>
          <w:b/>
          <w:sz w:val="40"/>
          <w:u w:val="single"/>
        </w:rPr>
        <w:t>iWG</w:t>
      </w:r>
      <w:proofErr w:type="spellEnd"/>
      <w:r w:rsidRPr="00685203">
        <w:rPr>
          <w:rFonts w:asciiTheme="minorHAnsi" w:hAnsiTheme="minorHAnsi" w:cstheme="minorHAnsi"/>
          <w:b/>
          <w:sz w:val="40"/>
          <w:u w:val="single"/>
        </w:rPr>
        <w:t xml:space="preserve"> Assessment</w:t>
      </w:r>
    </w:p>
    <w:p w:rsidR="00D942C4" w:rsidRPr="00685203" w:rsidRDefault="008678E7" w:rsidP="00111C29">
      <w:pPr>
        <w:spacing w:after="0" w:line="240" w:lineRule="auto"/>
        <w:jc w:val="left"/>
        <w:rPr>
          <w:rFonts w:asciiTheme="minorHAnsi" w:hAnsiTheme="minorHAnsi" w:cstheme="minorHAnsi"/>
          <w:szCs w:val="24"/>
        </w:rPr>
      </w:pPr>
      <w:proofErr w:type="spellStart"/>
      <w:r w:rsidRPr="00685203">
        <w:rPr>
          <w:rFonts w:asciiTheme="minorHAnsi" w:hAnsiTheme="minorHAnsi" w:cstheme="minorHAnsi"/>
          <w:b/>
        </w:rPr>
        <w:t>SWATeam</w:t>
      </w:r>
      <w:proofErr w:type="spellEnd"/>
      <w:r w:rsidRPr="00685203">
        <w:rPr>
          <w:rFonts w:asciiTheme="minorHAnsi" w:hAnsiTheme="minorHAnsi" w:cstheme="minorHAnsi"/>
          <w:b/>
        </w:rPr>
        <w:t xml:space="preserve"> Recommendation Ref #</w:t>
      </w:r>
      <w:r w:rsidR="00BD6803" w:rsidRPr="00685203">
        <w:rPr>
          <w:rFonts w:asciiTheme="minorHAnsi" w:hAnsiTheme="minorHAnsi" w:cstheme="minorHAnsi"/>
          <w:b/>
        </w:rPr>
        <w:t>:</w:t>
      </w:r>
      <w:r w:rsidRPr="00685203">
        <w:rPr>
          <w:rFonts w:asciiTheme="minorHAnsi" w:hAnsiTheme="minorHAnsi" w:cstheme="minorHAnsi"/>
          <w:szCs w:val="24"/>
        </w:rPr>
        <w:tab/>
      </w:r>
      <w:r w:rsidR="00D07022">
        <w:rPr>
          <w:rFonts w:asciiTheme="minorHAnsi" w:hAnsiTheme="minorHAnsi" w:cstheme="minorHAnsi"/>
          <w:szCs w:val="24"/>
        </w:rPr>
        <w:t>Energy006</w:t>
      </w:r>
      <w:r w:rsidR="00EC0C4B">
        <w:rPr>
          <w:rFonts w:asciiTheme="minorHAnsi" w:hAnsiTheme="minorHAnsi" w:cstheme="minorHAnsi"/>
          <w:szCs w:val="24"/>
        </w:rPr>
        <w:t xml:space="preserve"> – Integrate iCAP </w:t>
      </w:r>
      <w:proofErr w:type="spellStart"/>
      <w:r w:rsidR="00EC0C4B">
        <w:rPr>
          <w:rFonts w:asciiTheme="minorHAnsi" w:hAnsiTheme="minorHAnsi" w:cstheme="minorHAnsi"/>
          <w:szCs w:val="24"/>
        </w:rPr>
        <w:t>Glaos</w:t>
      </w:r>
      <w:proofErr w:type="spellEnd"/>
      <w:r w:rsidR="00EC0C4B">
        <w:rPr>
          <w:rFonts w:asciiTheme="minorHAnsi" w:hAnsiTheme="minorHAnsi" w:cstheme="minorHAnsi"/>
          <w:szCs w:val="24"/>
        </w:rPr>
        <w:t xml:space="preserve"> into Research/Learning Labs</w:t>
      </w:r>
      <w:r w:rsidRPr="00685203">
        <w:rPr>
          <w:rFonts w:asciiTheme="minorHAnsi" w:hAnsiTheme="minorHAnsi" w:cstheme="minorHAnsi"/>
          <w:szCs w:val="24"/>
        </w:rPr>
        <w:tab/>
      </w:r>
    </w:p>
    <w:p w:rsidR="00BD6803" w:rsidRPr="00685203" w:rsidRDefault="008678E7" w:rsidP="00111C29">
      <w:pPr>
        <w:spacing w:after="0" w:line="240" w:lineRule="auto"/>
        <w:jc w:val="left"/>
        <w:rPr>
          <w:rFonts w:asciiTheme="minorHAnsi" w:hAnsiTheme="minorHAnsi" w:cstheme="minorHAnsi"/>
          <w:szCs w:val="24"/>
          <w:u w:val="single"/>
        </w:rPr>
      </w:pPr>
      <w:r w:rsidRPr="00685203">
        <w:rPr>
          <w:rFonts w:asciiTheme="minorHAnsi" w:hAnsiTheme="minorHAnsi" w:cstheme="minorHAnsi"/>
          <w:b/>
        </w:rPr>
        <w:t>Date</w:t>
      </w:r>
      <w:r w:rsidR="0045101B" w:rsidRPr="00685203">
        <w:rPr>
          <w:rFonts w:asciiTheme="minorHAnsi" w:hAnsiTheme="minorHAnsi" w:cstheme="minorHAnsi"/>
          <w:b/>
        </w:rPr>
        <w:t xml:space="preserve"> of </w:t>
      </w:r>
      <w:proofErr w:type="spellStart"/>
      <w:r w:rsidR="0045101B" w:rsidRPr="00685203">
        <w:rPr>
          <w:rFonts w:asciiTheme="minorHAnsi" w:hAnsiTheme="minorHAnsi" w:cstheme="minorHAnsi"/>
          <w:b/>
        </w:rPr>
        <w:t>iWG</w:t>
      </w:r>
      <w:proofErr w:type="spellEnd"/>
      <w:r w:rsidR="0045101B" w:rsidRPr="00685203">
        <w:rPr>
          <w:rFonts w:asciiTheme="minorHAnsi" w:hAnsiTheme="minorHAnsi" w:cstheme="minorHAnsi"/>
          <w:b/>
        </w:rPr>
        <w:t xml:space="preserve"> Assessment</w:t>
      </w:r>
      <w:r w:rsidR="00C60F71" w:rsidRPr="00685203">
        <w:rPr>
          <w:rFonts w:asciiTheme="minorHAnsi" w:hAnsiTheme="minorHAnsi" w:cstheme="minorHAnsi"/>
          <w:b/>
        </w:rPr>
        <w:t xml:space="preserve"> Started</w:t>
      </w:r>
      <w:r w:rsidR="00BD6803" w:rsidRPr="00685203">
        <w:rPr>
          <w:rFonts w:asciiTheme="minorHAnsi" w:hAnsiTheme="minorHAnsi" w:cstheme="minorHAnsi"/>
          <w:b/>
        </w:rPr>
        <w:t>:</w:t>
      </w:r>
      <w:r w:rsidR="008461C7" w:rsidRPr="00685203">
        <w:rPr>
          <w:rFonts w:asciiTheme="minorHAnsi" w:hAnsiTheme="minorHAnsi" w:cstheme="minorHAnsi"/>
        </w:rPr>
        <w:t xml:space="preserve"> </w:t>
      </w:r>
      <w:r w:rsidR="00D07022">
        <w:rPr>
          <w:rFonts w:asciiTheme="minorHAnsi" w:hAnsiTheme="minorHAnsi" w:cstheme="minorHAnsi"/>
        </w:rPr>
        <w:t>7/22/21</w:t>
      </w:r>
      <w:r w:rsidR="00D07022">
        <w:rPr>
          <w:rFonts w:asciiTheme="minorHAnsi" w:hAnsiTheme="minorHAnsi" w:cstheme="minorHAnsi"/>
        </w:rPr>
        <w:tab/>
      </w:r>
      <w:r w:rsidR="00D07022">
        <w:rPr>
          <w:rFonts w:asciiTheme="minorHAnsi" w:hAnsiTheme="minorHAnsi" w:cstheme="minorHAnsi"/>
        </w:rPr>
        <w:tab/>
      </w:r>
      <w:r w:rsidR="00D942C4" w:rsidRPr="00685203">
        <w:rPr>
          <w:rFonts w:asciiTheme="minorHAnsi" w:hAnsiTheme="minorHAnsi" w:cstheme="minorHAnsi"/>
        </w:rPr>
        <w:tab/>
      </w:r>
      <w:r w:rsidR="008A3B06" w:rsidRPr="00685203">
        <w:rPr>
          <w:rFonts w:asciiTheme="minorHAnsi" w:hAnsiTheme="minorHAnsi" w:cstheme="minorHAnsi"/>
          <w:b/>
        </w:rPr>
        <w:t>Assessment Transmitted</w:t>
      </w:r>
      <w:r w:rsidR="00D942C4" w:rsidRPr="00685203">
        <w:rPr>
          <w:rFonts w:asciiTheme="minorHAnsi" w:hAnsiTheme="minorHAnsi" w:cstheme="minorHAnsi"/>
          <w:b/>
        </w:rPr>
        <w:t>:</w:t>
      </w:r>
      <w:r w:rsidR="008A3B06" w:rsidRPr="00685203">
        <w:rPr>
          <w:rFonts w:asciiTheme="minorHAnsi" w:hAnsiTheme="minorHAnsi" w:cstheme="minorHAnsi"/>
          <w:b/>
        </w:rPr>
        <w:t xml:space="preserve"> </w:t>
      </w:r>
      <w:r w:rsidR="007D6504">
        <w:rPr>
          <w:rFonts w:asciiTheme="minorHAnsi" w:hAnsiTheme="minorHAnsi" w:cstheme="minorHAnsi"/>
          <w:b/>
          <w:u w:val="single"/>
        </w:rPr>
        <w:t>11/29/21</w:t>
      </w:r>
      <w:bookmarkStart w:id="0" w:name="_GoBack"/>
      <w:bookmarkEnd w:id="0"/>
    </w:p>
    <w:p w:rsidR="00BD6803" w:rsidRPr="00685203" w:rsidRDefault="00BD6803" w:rsidP="00111C29">
      <w:pPr>
        <w:pBdr>
          <w:bottom w:val="single" w:sz="6" w:space="1" w:color="auto"/>
        </w:pBdr>
        <w:spacing w:after="0" w:line="240" w:lineRule="auto"/>
        <w:jc w:val="left"/>
        <w:rPr>
          <w:rFonts w:asciiTheme="minorHAnsi" w:hAnsiTheme="minorHAnsi" w:cstheme="minorHAnsi"/>
          <w:szCs w:val="24"/>
        </w:rPr>
      </w:pPr>
    </w:p>
    <w:p w:rsidR="007869C8" w:rsidRPr="00685203" w:rsidRDefault="007869C8" w:rsidP="00111C29">
      <w:pPr>
        <w:spacing w:after="0" w:line="240" w:lineRule="auto"/>
        <w:jc w:val="left"/>
        <w:rPr>
          <w:rFonts w:asciiTheme="minorHAnsi" w:hAnsiTheme="minorHAnsi" w:cstheme="minorHAnsi"/>
          <w:szCs w:val="24"/>
        </w:rPr>
      </w:pPr>
    </w:p>
    <w:p w:rsidR="00111C29" w:rsidRPr="001F2A70" w:rsidRDefault="007869C8" w:rsidP="00111C29">
      <w:pPr>
        <w:spacing w:after="0" w:line="240" w:lineRule="auto"/>
        <w:jc w:val="left"/>
        <w:rPr>
          <w:rFonts w:asciiTheme="minorHAnsi" w:hAnsiTheme="minorHAnsi" w:cstheme="minorHAnsi"/>
          <w:szCs w:val="24"/>
        </w:rPr>
      </w:pPr>
      <w:proofErr w:type="spellStart"/>
      <w:r w:rsidRPr="00685203">
        <w:rPr>
          <w:rFonts w:asciiTheme="minorHAnsi" w:hAnsiTheme="minorHAnsi" w:cstheme="minorHAnsi"/>
          <w:b/>
          <w:szCs w:val="24"/>
        </w:rPr>
        <w:t>iWG</w:t>
      </w:r>
      <w:proofErr w:type="spellEnd"/>
      <w:r w:rsidRPr="00685203">
        <w:rPr>
          <w:rFonts w:asciiTheme="minorHAnsi" w:hAnsiTheme="minorHAnsi" w:cstheme="minorHAnsi"/>
          <w:b/>
          <w:szCs w:val="24"/>
        </w:rPr>
        <w:t xml:space="preserve"> Recommendation:</w:t>
      </w:r>
      <w:r w:rsidR="00FA0E0C" w:rsidRPr="00685203">
        <w:rPr>
          <w:rFonts w:asciiTheme="minorHAnsi" w:hAnsiTheme="minorHAnsi" w:cstheme="minorHAnsi"/>
          <w:b/>
          <w:szCs w:val="24"/>
        </w:rPr>
        <w:t xml:space="preserve"> </w:t>
      </w:r>
      <w:r w:rsidR="001F2A70" w:rsidRPr="001F2A70">
        <w:rPr>
          <w:rFonts w:asciiTheme="minorHAnsi" w:hAnsiTheme="minorHAnsi" w:cstheme="minorHAnsi"/>
          <w:szCs w:val="24"/>
        </w:rPr>
        <w:t xml:space="preserve">The </w:t>
      </w:r>
      <w:proofErr w:type="spellStart"/>
      <w:r w:rsidR="001F2A70" w:rsidRPr="001F2A70">
        <w:rPr>
          <w:rFonts w:asciiTheme="minorHAnsi" w:hAnsiTheme="minorHAnsi" w:cstheme="minorHAnsi"/>
          <w:szCs w:val="24"/>
        </w:rPr>
        <w:t>iWG</w:t>
      </w:r>
      <w:proofErr w:type="spellEnd"/>
      <w:r w:rsidR="001F2A70" w:rsidRPr="001F2A70">
        <w:rPr>
          <w:rFonts w:asciiTheme="minorHAnsi" w:hAnsiTheme="minorHAnsi" w:cstheme="minorHAnsi"/>
          <w:szCs w:val="24"/>
        </w:rPr>
        <w:t xml:space="preserve"> recommends that the Vice Chancellor for Research </w:t>
      </w:r>
      <w:r w:rsidR="00F26409">
        <w:rPr>
          <w:rFonts w:asciiTheme="minorHAnsi" w:hAnsiTheme="minorHAnsi" w:cstheme="minorHAnsi"/>
          <w:szCs w:val="24"/>
        </w:rPr>
        <w:t xml:space="preserve">and Innovation </w:t>
      </w:r>
      <w:r w:rsidR="008D0C3A">
        <w:rPr>
          <w:rFonts w:asciiTheme="minorHAnsi" w:hAnsiTheme="minorHAnsi" w:cstheme="minorHAnsi"/>
          <w:szCs w:val="24"/>
        </w:rPr>
        <w:t xml:space="preserve">form and </w:t>
      </w:r>
      <w:r w:rsidR="001F2A70" w:rsidRPr="001F2A70">
        <w:rPr>
          <w:rFonts w:asciiTheme="minorHAnsi" w:hAnsiTheme="minorHAnsi" w:cstheme="minorHAnsi"/>
          <w:szCs w:val="24"/>
        </w:rPr>
        <w:t xml:space="preserve">charge a Green Labs committee. </w:t>
      </w:r>
      <w:r w:rsidR="0008459C">
        <w:rPr>
          <w:rFonts w:asciiTheme="minorHAnsi" w:hAnsiTheme="minorHAnsi" w:cstheme="minorHAnsi"/>
          <w:szCs w:val="24"/>
        </w:rPr>
        <w:t xml:space="preserve">The committee should include </w:t>
      </w:r>
      <w:r w:rsidR="00F81073">
        <w:rPr>
          <w:rFonts w:asciiTheme="minorHAnsi" w:hAnsiTheme="minorHAnsi" w:cstheme="minorHAnsi"/>
          <w:szCs w:val="24"/>
        </w:rPr>
        <w:t xml:space="preserve">staff from </w:t>
      </w:r>
      <w:r w:rsidR="00F81073" w:rsidRPr="00F81073">
        <w:rPr>
          <w:rFonts w:asciiTheme="minorHAnsi" w:hAnsiTheme="minorHAnsi" w:cstheme="minorHAnsi"/>
          <w:szCs w:val="24"/>
        </w:rPr>
        <w:t xml:space="preserve">Division of Research Safety </w:t>
      </w:r>
      <w:r w:rsidR="00F81073">
        <w:rPr>
          <w:rFonts w:asciiTheme="minorHAnsi" w:hAnsiTheme="minorHAnsi" w:cstheme="minorHAnsi"/>
          <w:szCs w:val="24"/>
        </w:rPr>
        <w:t xml:space="preserve">and </w:t>
      </w:r>
      <w:r w:rsidR="0008459C">
        <w:rPr>
          <w:rFonts w:asciiTheme="minorHAnsi" w:hAnsiTheme="minorHAnsi" w:cstheme="minorHAnsi"/>
          <w:szCs w:val="24"/>
        </w:rPr>
        <w:t xml:space="preserve">associate deans for research from major colleges. </w:t>
      </w:r>
      <w:r w:rsidR="00A612B7">
        <w:rPr>
          <w:rFonts w:asciiTheme="minorHAnsi" w:hAnsiTheme="minorHAnsi" w:cstheme="minorHAnsi"/>
          <w:szCs w:val="24"/>
        </w:rPr>
        <w:t xml:space="preserve">One priority task for the committee should be the development of an equipment inventory. </w:t>
      </w:r>
    </w:p>
    <w:p w:rsidR="00111C29" w:rsidRPr="00685203" w:rsidRDefault="00111C29"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i/>
          <w:szCs w:val="24"/>
          <w:u w:val="single"/>
        </w:rPr>
      </w:pPr>
      <w:r w:rsidRPr="00685203">
        <w:rPr>
          <w:rFonts w:asciiTheme="minorHAnsi" w:hAnsiTheme="minorHAnsi" w:cstheme="minorHAnsi"/>
          <w:b/>
        </w:rPr>
        <w:t>iWG Routing Direction (</w:t>
      </w:r>
      <w:r w:rsidRPr="00685203">
        <w:rPr>
          <w:rFonts w:asciiTheme="minorHAnsi" w:hAnsiTheme="minorHAnsi" w:cstheme="minorHAnsi"/>
          <w:b/>
          <w:i/>
          <w:iCs/>
        </w:rPr>
        <w:t xml:space="preserve">department name, </w:t>
      </w:r>
      <w:proofErr w:type="spellStart"/>
      <w:r w:rsidRPr="00685203">
        <w:rPr>
          <w:rFonts w:asciiTheme="minorHAnsi" w:hAnsiTheme="minorHAnsi" w:cstheme="minorHAnsi"/>
          <w:b/>
          <w:i/>
          <w:iCs/>
        </w:rPr>
        <w:t>SWATeam</w:t>
      </w:r>
      <w:proofErr w:type="spellEnd"/>
      <w:r w:rsidRPr="00685203">
        <w:rPr>
          <w:rFonts w:asciiTheme="minorHAnsi" w:hAnsiTheme="minorHAnsi" w:cstheme="minorHAnsi"/>
          <w:b/>
          <w:i/>
          <w:iCs/>
        </w:rPr>
        <w:t>, or Council</w:t>
      </w:r>
      <w:r w:rsidRPr="00685203">
        <w:rPr>
          <w:rFonts w:asciiTheme="minorHAnsi" w:hAnsiTheme="minorHAnsi" w:cstheme="minorHAnsi"/>
          <w:b/>
        </w:rPr>
        <w:t>):</w:t>
      </w:r>
      <w:r w:rsidRPr="00685203">
        <w:rPr>
          <w:rFonts w:asciiTheme="minorHAnsi" w:hAnsiTheme="minorHAnsi" w:cstheme="minorHAnsi"/>
        </w:rPr>
        <w:t xml:space="preserve"> </w:t>
      </w:r>
      <w:r w:rsidR="001F2A70">
        <w:rPr>
          <w:rFonts w:asciiTheme="minorHAnsi" w:hAnsiTheme="minorHAnsi" w:cstheme="minorHAnsi"/>
          <w:u w:val="single"/>
        </w:rPr>
        <w:t xml:space="preserve">Sustainability Council </w:t>
      </w:r>
    </w:p>
    <w:p w:rsidR="00692A4A" w:rsidRPr="00685203" w:rsidRDefault="00692A4A" w:rsidP="00111C29">
      <w:pPr>
        <w:spacing w:after="0" w:line="240" w:lineRule="auto"/>
        <w:jc w:val="left"/>
        <w:rPr>
          <w:rFonts w:asciiTheme="minorHAnsi" w:hAnsiTheme="minorHAnsi" w:cstheme="minorHAnsi"/>
          <w:szCs w:val="24"/>
        </w:rPr>
      </w:pPr>
    </w:p>
    <w:p w:rsidR="00F20122" w:rsidRPr="00685203" w:rsidRDefault="00F20122" w:rsidP="00111C29">
      <w:pPr>
        <w:spacing w:after="0" w:line="240" w:lineRule="auto"/>
        <w:jc w:val="left"/>
        <w:rPr>
          <w:rFonts w:asciiTheme="minorHAnsi" w:hAnsiTheme="minorHAnsi" w:cstheme="minorHAnsi"/>
          <w:szCs w:val="24"/>
        </w:rPr>
      </w:pPr>
    </w:p>
    <w:p w:rsidR="00BD6803" w:rsidRPr="00685203" w:rsidRDefault="00FF3581" w:rsidP="00111C29">
      <w:pPr>
        <w:spacing w:after="0" w:line="240" w:lineRule="auto"/>
        <w:jc w:val="left"/>
        <w:rPr>
          <w:rFonts w:asciiTheme="minorHAnsi" w:hAnsiTheme="minorHAnsi" w:cstheme="minorHAnsi"/>
          <w:szCs w:val="24"/>
        </w:rPr>
      </w:pPr>
      <w:r w:rsidRPr="00685203">
        <w:rPr>
          <w:rFonts w:asciiTheme="minorHAnsi" w:hAnsiTheme="minorHAnsi" w:cstheme="minorHAnsi"/>
          <w:szCs w:val="24"/>
        </w:rPr>
        <w:t>Individual c</w:t>
      </w:r>
      <w:r w:rsidR="008A3B06" w:rsidRPr="00685203">
        <w:rPr>
          <w:rFonts w:asciiTheme="minorHAnsi" w:hAnsiTheme="minorHAnsi" w:cstheme="minorHAnsi"/>
          <w:szCs w:val="24"/>
        </w:rPr>
        <w:t xml:space="preserve">omments </w:t>
      </w:r>
      <w:r w:rsidR="00BD6803" w:rsidRPr="00685203">
        <w:rPr>
          <w:rFonts w:asciiTheme="minorHAnsi" w:hAnsiTheme="minorHAnsi" w:cstheme="minorHAnsi"/>
          <w:szCs w:val="24"/>
        </w:rPr>
        <w:t xml:space="preserve">from </w:t>
      </w:r>
      <w:r w:rsidRPr="00685203">
        <w:rPr>
          <w:rFonts w:asciiTheme="minorHAnsi" w:hAnsiTheme="minorHAnsi" w:cstheme="minorHAnsi"/>
          <w:szCs w:val="24"/>
        </w:rPr>
        <w:t xml:space="preserve">each </w:t>
      </w:r>
      <w:r w:rsidR="007869C8" w:rsidRPr="00685203">
        <w:rPr>
          <w:rFonts w:asciiTheme="minorHAnsi" w:hAnsiTheme="minorHAnsi" w:cstheme="minorHAnsi"/>
          <w:szCs w:val="24"/>
        </w:rPr>
        <w:t>iWG</w:t>
      </w:r>
      <w:r w:rsidR="00BD6803" w:rsidRPr="00685203">
        <w:rPr>
          <w:rFonts w:asciiTheme="minorHAnsi" w:hAnsiTheme="minorHAnsi" w:cstheme="minorHAnsi"/>
          <w:szCs w:val="24"/>
        </w:rPr>
        <w:t xml:space="preserve"> </w:t>
      </w:r>
      <w:r w:rsidRPr="00685203">
        <w:rPr>
          <w:rFonts w:asciiTheme="minorHAnsi" w:hAnsiTheme="minorHAnsi" w:cstheme="minorHAnsi"/>
          <w:szCs w:val="24"/>
        </w:rPr>
        <w:t>m</w:t>
      </w:r>
      <w:r w:rsidR="00BD6803" w:rsidRPr="00685203">
        <w:rPr>
          <w:rFonts w:asciiTheme="minorHAnsi" w:hAnsiTheme="minorHAnsi" w:cstheme="minorHAnsi"/>
          <w:szCs w:val="24"/>
        </w:rPr>
        <w:t>ember</w:t>
      </w:r>
      <w:r w:rsidR="008A3B06" w:rsidRPr="00685203">
        <w:rPr>
          <w:rFonts w:asciiTheme="minorHAnsi" w:hAnsiTheme="minorHAnsi" w:cstheme="minorHAnsi"/>
          <w:szCs w:val="24"/>
        </w:rPr>
        <w:t xml:space="preserve">: </w:t>
      </w:r>
    </w:p>
    <w:p w:rsidR="00BD6803" w:rsidRPr="00685203" w:rsidRDefault="00BD6803" w:rsidP="00111C29">
      <w:pPr>
        <w:spacing w:after="0" w:line="240" w:lineRule="auto"/>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2437"/>
        <w:gridCol w:w="8353"/>
      </w:tblGrid>
      <w:tr w:rsidR="00FF3581" w:rsidRPr="00685203" w:rsidTr="0080208D">
        <w:trPr>
          <w:trHeight w:val="323"/>
        </w:trPr>
        <w:tc>
          <w:tcPr>
            <w:tcW w:w="2437" w:type="dxa"/>
          </w:tcPr>
          <w:p w:rsidR="00FF3581" w:rsidRPr="00685203" w:rsidRDefault="007869C8" w:rsidP="00111C29">
            <w:pPr>
              <w:jc w:val="left"/>
              <w:rPr>
                <w:rFonts w:asciiTheme="minorHAnsi" w:hAnsiTheme="minorHAnsi" w:cstheme="minorHAnsi"/>
                <w:szCs w:val="24"/>
              </w:rPr>
            </w:pPr>
            <w:r w:rsidRPr="00685203">
              <w:rPr>
                <w:rFonts w:asciiTheme="minorHAnsi" w:hAnsiTheme="minorHAnsi" w:cstheme="minorHAnsi"/>
                <w:szCs w:val="24"/>
              </w:rPr>
              <w:t>iWG</w:t>
            </w:r>
            <w:r w:rsidR="00FF3581" w:rsidRPr="00685203">
              <w:rPr>
                <w:rFonts w:asciiTheme="minorHAnsi" w:hAnsiTheme="minorHAnsi" w:cstheme="minorHAnsi"/>
                <w:szCs w:val="24"/>
              </w:rPr>
              <w:t xml:space="preserve"> Member Name</w:t>
            </w:r>
          </w:p>
        </w:tc>
        <w:tc>
          <w:tcPr>
            <w:tcW w:w="8353" w:type="dxa"/>
          </w:tcPr>
          <w:p w:rsidR="00FF3581" w:rsidRPr="00685203" w:rsidRDefault="007869C8" w:rsidP="00111C29">
            <w:pPr>
              <w:jc w:val="left"/>
              <w:rPr>
                <w:rFonts w:asciiTheme="minorHAnsi" w:hAnsiTheme="minorHAnsi" w:cstheme="minorHAnsi"/>
                <w:szCs w:val="24"/>
              </w:rPr>
            </w:pPr>
            <w:r w:rsidRPr="00685203">
              <w:rPr>
                <w:rFonts w:asciiTheme="minorHAnsi" w:hAnsiTheme="minorHAnsi" w:cstheme="minorHAnsi"/>
                <w:szCs w:val="24"/>
              </w:rPr>
              <w:t>iWG</w:t>
            </w:r>
            <w:r w:rsidR="00FF3581" w:rsidRPr="00685203">
              <w:rPr>
                <w:rFonts w:asciiTheme="minorHAnsi" w:hAnsiTheme="minorHAnsi" w:cstheme="minorHAnsi"/>
                <w:szCs w:val="24"/>
              </w:rPr>
              <w:t xml:space="preserve"> Member’s Comments</w:t>
            </w:r>
          </w:p>
        </w:tc>
      </w:tr>
      <w:tr w:rsidR="00FF3581" w:rsidRPr="00685203" w:rsidTr="0080208D">
        <w:trPr>
          <w:trHeight w:val="720"/>
        </w:trPr>
        <w:tc>
          <w:tcPr>
            <w:tcW w:w="2437" w:type="dxa"/>
          </w:tcPr>
          <w:p w:rsidR="00FF3581" w:rsidRPr="00685203" w:rsidRDefault="00AE2D8F" w:rsidP="00111C29">
            <w:pPr>
              <w:jc w:val="left"/>
              <w:rPr>
                <w:rFonts w:asciiTheme="minorHAnsi" w:hAnsiTheme="minorHAnsi" w:cstheme="minorHAnsi"/>
                <w:szCs w:val="24"/>
              </w:rPr>
            </w:pPr>
            <w:r w:rsidRPr="00685203">
              <w:rPr>
                <w:rFonts w:asciiTheme="minorHAnsi" w:hAnsiTheme="minorHAnsi" w:cstheme="minorHAnsi"/>
                <w:szCs w:val="24"/>
              </w:rPr>
              <w:t>Ximing Cai</w:t>
            </w:r>
          </w:p>
          <w:p w:rsidR="007B3DF9" w:rsidRPr="00685203" w:rsidRDefault="007B3DF9" w:rsidP="00111C29">
            <w:pPr>
              <w:jc w:val="left"/>
              <w:rPr>
                <w:rFonts w:asciiTheme="minorHAnsi" w:hAnsiTheme="minorHAnsi" w:cstheme="minorHAnsi"/>
                <w:szCs w:val="24"/>
              </w:rPr>
            </w:pPr>
            <w:r w:rsidRPr="00685203">
              <w:rPr>
                <w:rFonts w:asciiTheme="minorHAnsi" w:hAnsiTheme="minorHAnsi" w:cstheme="minorHAnsi"/>
                <w:szCs w:val="24"/>
              </w:rPr>
              <w:t>(iSEE)</w:t>
            </w:r>
          </w:p>
        </w:tc>
        <w:tc>
          <w:tcPr>
            <w:tcW w:w="8353" w:type="dxa"/>
          </w:tcPr>
          <w:p w:rsidR="00FF3581" w:rsidRPr="00F81073" w:rsidRDefault="00F81073" w:rsidP="00F81073">
            <w:pPr>
              <w:jc w:val="left"/>
              <w:rPr>
                <w:rFonts w:asciiTheme="minorHAnsi" w:hAnsiTheme="minorHAnsi" w:cstheme="minorHAnsi"/>
                <w:szCs w:val="24"/>
              </w:rPr>
            </w:pPr>
            <w:r>
              <w:rPr>
                <w:rFonts w:asciiTheme="minorHAnsi" w:hAnsiTheme="minorHAnsi" w:cstheme="minorHAnsi"/>
                <w:szCs w:val="24"/>
              </w:rPr>
              <w:t xml:space="preserve">I strongly support this recommendation. Green research labs will contribute to iCAP 2020 objectives on energy saving, water saving, and waste reduction; importantly the engagement of researchers (including faculty and students working in research labs) will be enhanced via the effort.  </w:t>
            </w:r>
          </w:p>
        </w:tc>
      </w:tr>
      <w:tr w:rsidR="00FF3581" w:rsidRPr="00685203" w:rsidTr="0080208D">
        <w:trPr>
          <w:trHeight w:val="720"/>
        </w:trPr>
        <w:tc>
          <w:tcPr>
            <w:tcW w:w="2437" w:type="dxa"/>
          </w:tcPr>
          <w:p w:rsidR="00FF3581" w:rsidRPr="00685203" w:rsidRDefault="007B3DF9" w:rsidP="00111C29">
            <w:pPr>
              <w:jc w:val="left"/>
              <w:rPr>
                <w:rFonts w:asciiTheme="minorHAnsi" w:hAnsiTheme="minorHAnsi" w:cstheme="minorHAnsi"/>
                <w:szCs w:val="24"/>
              </w:rPr>
            </w:pPr>
            <w:r w:rsidRPr="00685203">
              <w:rPr>
                <w:rFonts w:asciiTheme="minorHAnsi" w:hAnsiTheme="minorHAnsi" w:cstheme="minorHAnsi"/>
                <w:szCs w:val="24"/>
              </w:rPr>
              <w:t xml:space="preserve">Morgan </w:t>
            </w:r>
            <w:r w:rsidR="00AE2D8F" w:rsidRPr="00685203">
              <w:rPr>
                <w:rFonts w:asciiTheme="minorHAnsi" w:hAnsiTheme="minorHAnsi" w:cstheme="minorHAnsi"/>
                <w:szCs w:val="24"/>
              </w:rPr>
              <w:t>White</w:t>
            </w:r>
          </w:p>
          <w:p w:rsidR="007B3DF9" w:rsidRPr="00685203" w:rsidRDefault="007B3DF9" w:rsidP="00111C29">
            <w:pPr>
              <w:jc w:val="left"/>
              <w:rPr>
                <w:rFonts w:asciiTheme="minorHAnsi" w:hAnsiTheme="minorHAnsi" w:cstheme="minorHAnsi"/>
                <w:szCs w:val="24"/>
              </w:rPr>
            </w:pPr>
            <w:r w:rsidRPr="00685203">
              <w:rPr>
                <w:rFonts w:asciiTheme="minorHAnsi" w:hAnsiTheme="minorHAnsi" w:cstheme="minorHAnsi"/>
                <w:szCs w:val="24"/>
              </w:rPr>
              <w:t>(F&amp;S)</w:t>
            </w:r>
          </w:p>
        </w:tc>
        <w:tc>
          <w:tcPr>
            <w:tcW w:w="8353" w:type="dxa"/>
          </w:tcPr>
          <w:p w:rsidR="00FF3581" w:rsidRPr="00F61866" w:rsidRDefault="00F61866" w:rsidP="00A73D31">
            <w:pPr>
              <w:rPr>
                <w:rFonts w:asciiTheme="minorHAnsi" w:eastAsiaTheme="minorHAnsi" w:hAnsiTheme="minorHAnsi" w:cstheme="minorHAnsi"/>
                <w:sz w:val="22"/>
              </w:rPr>
            </w:pPr>
            <w:r w:rsidRPr="00F61866">
              <w:rPr>
                <w:rFonts w:ascii="Calibri" w:eastAsia="Times New Roman" w:hAnsi="Calibri" w:cs="Calibri"/>
                <w:sz w:val="22"/>
              </w:rPr>
              <w:t>We are excited to talk with researchers and DRS about how to safely integrate sustainable practices in the research spaces throughout campus. Research space is very energy intensive, so this is a key area to address with our iCAP efforts.</w:t>
            </w:r>
          </w:p>
        </w:tc>
      </w:tr>
      <w:tr w:rsidR="00FF3581" w:rsidRPr="00685203" w:rsidTr="0080208D">
        <w:trPr>
          <w:trHeight w:val="720"/>
        </w:trPr>
        <w:tc>
          <w:tcPr>
            <w:tcW w:w="2437" w:type="dxa"/>
          </w:tcPr>
          <w:p w:rsidR="007B3DF9" w:rsidRPr="00685203" w:rsidRDefault="00FA32E9" w:rsidP="00111C29">
            <w:pPr>
              <w:jc w:val="left"/>
              <w:rPr>
                <w:rFonts w:asciiTheme="minorHAnsi" w:hAnsiTheme="minorHAnsi" w:cstheme="minorHAnsi"/>
                <w:szCs w:val="24"/>
              </w:rPr>
            </w:pPr>
            <w:r w:rsidRPr="00685203">
              <w:rPr>
                <w:rFonts w:asciiTheme="minorHAnsi" w:hAnsiTheme="minorHAnsi" w:cstheme="minorHAnsi"/>
              </w:rPr>
              <w:t>Marcus Jackson</w:t>
            </w:r>
            <w:r w:rsidR="0015747F" w:rsidRPr="00685203">
              <w:rPr>
                <w:rFonts w:asciiTheme="minorHAnsi" w:hAnsiTheme="minorHAnsi" w:cstheme="minorHAnsi"/>
              </w:rPr>
              <w:t xml:space="preserve"> (</w:t>
            </w:r>
            <w:r w:rsidR="008A3B06" w:rsidRPr="00685203">
              <w:rPr>
                <w:rFonts w:asciiTheme="minorHAnsi" w:hAnsiTheme="minorHAnsi" w:cstheme="minorHAnsi"/>
              </w:rPr>
              <w:t xml:space="preserve">Representing </w:t>
            </w:r>
            <w:r w:rsidR="0015747F" w:rsidRPr="00685203">
              <w:rPr>
                <w:rFonts w:asciiTheme="minorHAnsi" w:hAnsiTheme="minorHAnsi" w:cstheme="minorHAnsi"/>
              </w:rPr>
              <w:t xml:space="preserve">Auxiliaries) </w:t>
            </w:r>
          </w:p>
        </w:tc>
        <w:tc>
          <w:tcPr>
            <w:tcW w:w="8353" w:type="dxa"/>
          </w:tcPr>
          <w:p w:rsidR="00FF3581" w:rsidRPr="00685203" w:rsidRDefault="00F61866" w:rsidP="00111C29">
            <w:pPr>
              <w:jc w:val="left"/>
              <w:rPr>
                <w:rFonts w:asciiTheme="minorHAnsi" w:hAnsiTheme="minorHAnsi" w:cstheme="minorHAnsi"/>
                <w:szCs w:val="24"/>
              </w:rPr>
            </w:pPr>
            <w:r>
              <w:rPr>
                <w:rFonts w:asciiTheme="minorHAnsi" w:hAnsiTheme="minorHAnsi" w:cstheme="minorHAnsi"/>
                <w:szCs w:val="24"/>
              </w:rPr>
              <w:t>I support this recommendation.</w:t>
            </w:r>
          </w:p>
        </w:tc>
      </w:tr>
      <w:tr w:rsidR="00FF3581" w:rsidRPr="00685203" w:rsidTr="0080208D">
        <w:trPr>
          <w:trHeight w:val="720"/>
        </w:trPr>
        <w:tc>
          <w:tcPr>
            <w:tcW w:w="2437" w:type="dxa"/>
          </w:tcPr>
          <w:p w:rsidR="00FF3581" w:rsidRPr="00685203" w:rsidRDefault="00F61866" w:rsidP="00111C29">
            <w:pPr>
              <w:jc w:val="left"/>
              <w:rPr>
                <w:rFonts w:asciiTheme="minorHAnsi" w:hAnsiTheme="minorHAnsi" w:cstheme="minorHAnsi"/>
                <w:szCs w:val="24"/>
              </w:rPr>
            </w:pPr>
            <w:r>
              <w:rPr>
                <w:rFonts w:asciiTheme="minorHAnsi" w:hAnsiTheme="minorHAnsi" w:cstheme="minorHAnsi"/>
                <w:szCs w:val="24"/>
              </w:rPr>
              <w:t>Brian Bundren</w:t>
            </w:r>
          </w:p>
          <w:p w:rsidR="007B3DF9" w:rsidRPr="00685203" w:rsidRDefault="0015747F" w:rsidP="00111C29">
            <w:pPr>
              <w:jc w:val="left"/>
              <w:rPr>
                <w:rFonts w:asciiTheme="minorHAnsi" w:hAnsiTheme="minorHAnsi" w:cstheme="minorHAnsi"/>
                <w:szCs w:val="24"/>
              </w:rPr>
            </w:pPr>
            <w:r w:rsidRPr="00685203">
              <w:rPr>
                <w:rFonts w:asciiTheme="minorHAnsi" w:hAnsiTheme="minorHAnsi" w:cstheme="minorHAnsi"/>
                <w:szCs w:val="24"/>
              </w:rPr>
              <w:t>(Provost</w:t>
            </w:r>
            <w:r w:rsidR="007B3DF9" w:rsidRPr="00685203">
              <w:rPr>
                <w:rFonts w:asciiTheme="minorHAnsi" w:hAnsiTheme="minorHAnsi" w:cstheme="minorHAnsi"/>
                <w:szCs w:val="24"/>
              </w:rPr>
              <w:t xml:space="preserve"> Office)</w:t>
            </w:r>
          </w:p>
        </w:tc>
        <w:tc>
          <w:tcPr>
            <w:tcW w:w="8353" w:type="dxa"/>
          </w:tcPr>
          <w:p w:rsidR="00FF3581" w:rsidRPr="00685203" w:rsidRDefault="00FE2778" w:rsidP="00E7057E">
            <w:pPr>
              <w:rPr>
                <w:rFonts w:asciiTheme="minorHAnsi" w:eastAsiaTheme="minorHAnsi" w:hAnsiTheme="minorHAnsi" w:cstheme="minorHAnsi"/>
                <w:sz w:val="22"/>
              </w:rPr>
            </w:pPr>
            <w:r>
              <w:rPr>
                <w:rFonts w:ascii="Calibri" w:hAnsi="Calibri" w:cs="Calibri"/>
              </w:rPr>
              <w:t>I support this recommendation.</w:t>
            </w:r>
          </w:p>
        </w:tc>
      </w:tr>
      <w:tr w:rsidR="00AE2D8F" w:rsidRPr="00685203" w:rsidTr="0080208D">
        <w:trPr>
          <w:trHeight w:val="720"/>
        </w:trPr>
        <w:tc>
          <w:tcPr>
            <w:tcW w:w="2437" w:type="dxa"/>
          </w:tcPr>
          <w:p w:rsidR="0015747F" w:rsidRPr="00685203" w:rsidRDefault="0015747F" w:rsidP="00111C29">
            <w:pPr>
              <w:jc w:val="left"/>
              <w:rPr>
                <w:rFonts w:asciiTheme="minorHAnsi" w:hAnsiTheme="minorHAnsi" w:cstheme="minorHAnsi"/>
                <w:szCs w:val="24"/>
              </w:rPr>
            </w:pPr>
            <w:r w:rsidRPr="00685203">
              <w:rPr>
                <w:rFonts w:asciiTheme="minorHAnsi" w:hAnsiTheme="minorHAnsi" w:cstheme="minorHAnsi"/>
              </w:rPr>
              <w:t>John Dallesasse</w:t>
            </w:r>
          </w:p>
          <w:p w:rsidR="00AE2D8F" w:rsidRPr="00685203" w:rsidRDefault="0015747F" w:rsidP="00111C29">
            <w:pPr>
              <w:jc w:val="left"/>
              <w:rPr>
                <w:rFonts w:asciiTheme="minorHAnsi" w:hAnsiTheme="minorHAnsi" w:cstheme="minorHAnsi"/>
              </w:rPr>
            </w:pPr>
            <w:r w:rsidRPr="00685203">
              <w:rPr>
                <w:rFonts w:asciiTheme="minorHAnsi" w:hAnsiTheme="minorHAnsi" w:cstheme="minorHAnsi"/>
                <w:szCs w:val="24"/>
              </w:rPr>
              <w:t>(Academic Senate)</w:t>
            </w:r>
          </w:p>
        </w:tc>
        <w:tc>
          <w:tcPr>
            <w:tcW w:w="8353" w:type="dxa"/>
          </w:tcPr>
          <w:p w:rsidR="00AE2D8F" w:rsidRPr="00685203" w:rsidRDefault="00F766F0" w:rsidP="00A73D31">
            <w:pPr>
              <w:rPr>
                <w:rFonts w:asciiTheme="minorHAnsi" w:eastAsia="Times New Roman" w:hAnsiTheme="minorHAnsi" w:cstheme="minorHAnsi"/>
              </w:rPr>
            </w:pPr>
            <w:r>
              <w:rPr>
                <w:rFonts w:asciiTheme="minorHAnsi" w:eastAsia="Times New Roman" w:hAnsiTheme="minorHAnsi" w:cstheme="minorHAnsi"/>
              </w:rPr>
              <w:t xml:space="preserve">I support this recommendation. </w:t>
            </w:r>
          </w:p>
        </w:tc>
      </w:tr>
      <w:tr w:rsidR="00FF3581" w:rsidRPr="00685203" w:rsidTr="0080208D">
        <w:trPr>
          <w:trHeight w:val="720"/>
        </w:trPr>
        <w:tc>
          <w:tcPr>
            <w:tcW w:w="2437" w:type="dxa"/>
          </w:tcPr>
          <w:p w:rsidR="007B3DF9" w:rsidRPr="00685203" w:rsidRDefault="0015747F" w:rsidP="00111C29">
            <w:pPr>
              <w:jc w:val="left"/>
              <w:rPr>
                <w:rFonts w:asciiTheme="minorHAnsi" w:hAnsiTheme="minorHAnsi" w:cstheme="minorHAnsi"/>
                <w:szCs w:val="24"/>
              </w:rPr>
            </w:pPr>
            <w:r w:rsidRPr="00685203">
              <w:rPr>
                <w:rFonts w:asciiTheme="minorHAnsi" w:hAnsiTheme="minorHAnsi" w:cstheme="minorHAnsi"/>
                <w:szCs w:val="24"/>
              </w:rPr>
              <w:t>Sandy Yoo (System Office)</w:t>
            </w:r>
          </w:p>
        </w:tc>
        <w:tc>
          <w:tcPr>
            <w:tcW w:w="8353" w:type="dxa"/>
          </w:tcPr>
          <w:p w:rsidR="00FF3581" w:rsidRPr="00685203" w:rsidRDefault="008B5B0F" w:rsidP="00111C29">
            <w:pPr>
              <w:jc w:val="left"/>
              <w:rPr>
                <w:rFonts w:asciiTheme="minorHAnsi" w:hAnsiTheme="minorHAnsi" w:cstheme="minorHAnsi"/>
                <w:szCs w:val="24"/>
              </w:rPr>
            </w:pPr>
            <w:r>
              <w:rPr>
                <w:rFonts w:asciiTheme="minorHAnsi" w:hAnsiTheme="minorHAnsi" w:cstheme="minorHAnsi"/>
                <w:szCs w:val="24"/>
              </w:rPr>
              <w:t>UOCP supports this initiative.  Since sustainable laboratories are very technical and an emerging field, along with the experts from Units and experts of Energy and Safety, can an “expert”/PSC versed in design of sustainable laboratories be included?  But only if an expert(s) is not available on campus.</w:t>
            </w:r>
          </w:p>
        </w:tc>
      </w:tr>
      <w:tr w:rsidR="00E8310D" w:rsidRPr="00685203" w:rsidTr="0080208D">
        <w:trPr>
          <w:trHeight w:val="720"/>
        </w:trPr>
        <w:tc>
          <w:tcPr>
            <w:tcW w:w="2437" w:type="dxa"/>
          </w:tcPr>
          <w:p w:rsidR="00E8310D" w:rsidRPr="00685203" w:rsidRDefault="00E8310D" w:rsidP="00E8310D">
            <w:pPr>
              <w:jc w:val="left"/>
              <w:rPr>
                <w:rFonts w:asciiTheme="minorHAnsi" w:hAnsiTheme="minorHAnsi" w:cstheme="minorHAnsi"/>
                <w:szCs w:val="24"/>
              </w:rPr>
            </w:pPr>
            <w:r w:rsidRPr="00685203">
              <w:rPr>
                <w:rFonts w:asciiTheme="minorHAnsi" w:hAnsiTheme="minorHAnsi" w:cstheme="minorHAnsi"/>
                <w:szCs w:val="24"/>
              </w:rPr>
              <w:t>Qu H. Kim (Representing College Facilities)</w:t>
            </w:r>
          </w:p>
        </w:tc>
        <w:tc>
          <w:tcPr>
            <w:tcW w:w="8353" w:type="dxa"/>
          </w:tcPr>
          <w:p w:rsidR="00E8310D" w:rsidRPr="00685203" w:rsidRDefault="00743544" w:rsidP="00E8310D">
            <w:pPr>
              <w:jc w:val="left"/>
              <w:rPr>
                <w:rFonts w:asciiTheme="minorHAnsi" w:hAnsiTheme="minorHAnsi" w:cstheme="minorHAnsi"/>
                <w:szCs w:val="24"/>
              </w:rPr>
            </w:pPr>
            <w:r>
              <w:rPr>
                <w:rFonts w:asciiTheme="minorHAnsi" w:hAnsiTheme="minorHAnsi" w:cstheme="minorHAnsi"/>
                <w:szCs w:val="24"/>
              </w:rPr>
              <w:t>I support the forming of the committee. Although OVCR is mentioned in the submission, please ensure to include DRS, which reports to OVCR. Although some of the sustainable initiatives for labs are great ideas, we need to ensure that the safety is not compromised and green purchasing requirement is not too onerous for the researchers to procure, because sometime the time is essence for some research activities.</w:t>
            </w:r>
          </w:p>
        </w:tc>
      </w:tr>
      <w:tr w:rsidR="00E8310D" w:rsidRPr="00685203" w:rsidTr="0080208D">
        <w:trPr>
          <w:trHeight w:val="720"/>
        </w:trPr>
        <w:tc>
          <w:tcPr>
            <w:tcW w:w="2437" w:type="dxa"/>
          </w:tcPr>
          <w:p w:rsidR="00E8310D" w:rsidRPr="00685203" w:rsidRDefault="00E924E0" w:rsidP="00E8310D">
            <w:pPr>
              <w:jc w:val="left"/>
              <w:rPr>
                <w:rFonts w:asciiTheme="minorHAnsi" w:hAnsiTheme="minorHAnsi" w:cstheme="minorHAnsi"/>
                <w:szCs w:val="24"/>
              </w:rPr>
            </w:pPr>
            <w:r>
              <w:rPr>
                <w:rFonts w:asciiTheme="minorHAnsi" w:hAnsiTheme="minorHAnsi" w:cstheme="minorHAnsi"/>
              </w:rPr>
              <w:t xml:space="preserve">Caitlin Bloomer </w:t>
            </w:r>
            <w:r w:rsidR="00E8310D" w:rsidRPr="00685203">
              <w:rPr>
                <w:rFonts w:asciiTheme="minorHAnsi" w:hAnsiTheme="minorHAnsi" w:cstheme="minorHAnsi"/>
              </w:rPr>
              <w:t>(Student Sustainability Committee)</w:t>
            </w:r>
          </w:p>
        </w:tc>
        <w:tc>
          <w:tcPr>
            <w:tcW w:w="8353" w:type="dxa"/>
          </w:tcPr>
          <w:p w:rsidR="00E8310D" w:rsidRPr="00685203" w:rsidRDefault="00342E24" w:rsidP="00E8310D">
            <w:pPr>
              <w:jc w:val="left"/>
              <w:rPr>
                <w:rFonts w:asciiTheme="minorHAnsi" w:hAnsiTheme="minorHAnsi" w:cstheme="minorHAnsi"/>
                <w:szCs w:val="24"/>
              </w:rPr>
            </w:pPr>
            <w:r>
              <w:rPr>
                <w:rFonts w:asciiTheme="minorHAnsi" w:hAnsiTheme="minorHAnsi" w:cstheme="minorHAnsi"/>
                <w:szCs w:val="24"/>
              </w:rPr>
              <w:t>I support this recommendation. This is an exciting prospect and I can see training modules being useful for both faculty and the students in their labs.</w:t>
            </w:r>
          </w:p>
        </w:tc>
      </w:tr>
      <w:tr w:rsidR="00E8310D" w:rsidRPr="00685203" w:rsidTr="0080208D">
        <w:trPr>
          <w:trHeight w:val="720"/>
        </w:trPr>
        <w:tc>
          <w:tcPr>
            <w:tcW w:w="2437" w:type="dxa"/>
          </w:tcPr>
          <w:p w:rsidR="00E8310D" w:rsidRPr="00685203" w:rsidRDefault="00685203" w:rsidP="00FA32E9">
            <w:pPr>
              <w:jc w:val="left"/>
              <w:rPr>
                <w:rFonts w:asciiTheme="minorHAnsi" w:hAnsiTheme="minorHAnsi" w:cstheme="minorHAnsi"/>
                <w:szCs w:val="24"/>
              </w:rPr>
            </w:pPr>
            <w:r>
              <w:rPr>
                <w:rFonts w:asciiTheme="minorHAnsi" w:hAnsiTheme="minorHAnsi" w:cstheme="minorHAnsi"/>
              </w:rPr>
              <w:lastRenderedPageBreak/>
              <w:t>Maria Maring</w:t>
            </w:r>
            <w:r w:rsidR="002D14D7">
              <w:rPr>
                <w:rFonts w:asciiTheme="minorHAnsi" w:hAnsiTheme="minorHAnsi" w:cstheme="minorHAnsi"/>
              </w:rPr>
              <w:t xml:space="preserve">/Owen Jennings </w:t>
            </w:r>
            <w:r w:rsidR="00FA32E9" w:rsidRPr="00685203">
              <w:rPr>
                <w:rFonts w:asciiTheme="minorHAnsi" w:hAnsiTheme="minorHAnsi" w:cstheme="minorHAnsi"/>
              </w:rPr>
              <w:t>(</w:t>
            </w:r>
            <w:r w:rsidR="00E8310D" w:rsidRPr="00685203">
              <w:rPr>
                <w:rFonts w:asciiTheme="minorHAnsi" w:hAnsiTheme="minorHAnsi" w:cstheme="minorHAnsi"/>
              </w:rPr>
              <w:t>Student Sustainability Leadership Council</w:t>
            </w:r>
            <w:r w:rsidR="00FA32E9" w:rsidRPr="00685203">
              <w:rPr>
                <w:rFonts w:asciiTheme="minorHAnsi" w:hAnsiTheme="minorHAnsi" w:cstheme="minorHAnsi"/>
              </w:rPr>
              <w:t>)</w:t>
            </w:r>
          </w:p>
        </w:tc>
        <w:tc>
          <w:tcPr>
            <w:tcW w:w="8353" w:type="dxa"/>
          </w:tcPr>
          <w:p w:rsidR="00E8310D" w:rsidRPr="00685203" w:rsidRDefault="002D14D7" w:rsidP="00EC7648">
            <w:pPr>
              <w:spacing w:before="100" w:beforeAutospacing="1" w:after="100" w:afterAutospacing="1"/>
              <w:jc w:val="left"/>
              <w:rPr>
                <w:rFonts w:asciiTheme="minorHAnsi" w:hAnsiTheme="minorHAnsi" w:cstheme="minorHAnsi"/>
                <w:szCs w:val="24"/>
              </w:rPr>
            </w:pPr>
            <w:r>
              <w:rPr>
                <w:rFonts w:ascii="Calibri" w:hAnsi="Calibri" w:cs="Calibri"/>
                <w:sz w:val="22"/>
              </w:rPr>
              <w:t>I support this recommendation. Given the Universities status as a leader in cutting-edge research, it seems exceptionally crucial that we at the university aim lead in sustainability at every level. This recommendation would be a welcome step in that direction.</w:t>
            </w:r>
          </w:p>
        </w:tc>
      </w:tr>
      <w:tr w:rsidR="00E8310D" w:rsidRPr="00685203" w:rsidTr="0080208D">
        <w:trPr>
          <w:trHeight w:val="720"/>
        </w:trPr>
        <w:tc>
          <w:tcPr>
            <w:tcW w:w="2437" w:type="dxa"/>
          </w:tcPr>
          <w:p w:rsidR="00E8310D" w:rsidRPr="00685203" w:rsidRDefault="003C6FB9" w:rsidP="00E8310D">
            <w:pPr>
              <w:jc w:val="left"/>
              <w:rPr>
                <w:rFonts w:asciiTheme="minorHAnsi" w:hAnsiTheme="minorHAnsi" w:cstheme="minorHAnsi"/>
                <w:szCs w:val="24"/>
              </w:rPr>
            </w:pPr>
            <w:r>
              <w:rPr>
                <w:rFonts w:asciiTheme="minorHAnsi" w:hAnsiTheme="minorHAnsi" w:cstheme="minorHAnsi"/>
                <w:szCs w:val="24"/>
              </w:rPr>
              <w:t>Alexandra Ge</w:t>
            </w:r>
            <w:r w:rsidR="00685203">
              <w:rPr>
                <w:rFonts w:asciiTheme="minorHAnsi" w:hAnsiTheme="minorHAnsi" w:cstheme="minorHAnsi"/>
                <w:szCs w:val="24"/>
              </w:rPr>
              <w:t>rgova</w:t>
            </w:r>
            <w:r w:rsidR="00E8310D" w:rsidRPr="00685203">
              <w:rPr>
                <w:rFonts w:asciiTheme="minorHAnsi" w:hAnsiTheme="minorHAnsi" w:cstheme="minorHAnsi"/>
                <w:szCs w:val="24"/>
              </w:rPr>
              <w:t>, Illinois Student Government Environmental Sustainability Committee</w:t>
            </w:r>
          </w:p>
        </w:tc>
        <w:tc>
          <w:tcPr>
            <w:tcW w:w="8353" w:type="dxa"/>
          </w:tcPr>
          <w:p w:rsidR="00E8310D" w:rsidRPr="00685203" w:rsidRDefault="00F61866" w:rsidP="00E7057E">
            <w:pPr>
              <w:rPr>
                <w:rFonts w:asciiTheme="minorHAnsi" w:eastAsiaTheme="minorHAnsi" w:hAnsiTheme="minorHAnsi" w:cstheme="minorHAnsi"/>
                <w:sz w:val="22"/>
              </w:rPr>
            </w:pPr>
            <w:r w:rsidRPr="00F61866">
              <w:rPr>
                <w:rFonts w:asciiTheme="minorHAnsi" w:eastAsiaTheme="minorHAnsi" w:hAnsiTheme="minorHAnsi" w:cstheme="minorHAnsi"/>
                <w:sz w:val="22"/>
              </w:rPr>
              <w:t>I am incredibly in favor of this recommendation because greener research labs are critical in ensuring a more sustainable campus.</w:t>
            </w:r>
          </w:p>
        </w:tc>
      </w:tr>
    </w:tbl>
    <w:p w:rsidR="00BD6803" w:rsidRPr="00685203" w:rsidRDefault="00BD6803"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b/>
        </w:rPr>
      </w:pPr>
    </w:p>
    <w:p w:rsidR="00D07022" w:rsidRPr="00D07022" w:rsidRDefault="008A3B06" w:rsidP="00D07022">
      <w:pPr>
        <w:spacing w:after="0" w:line="240" w:lineRule="auto"/>
        <w:jc w:val="left"/>
        <w:rPr>
          <w:rFonts w:asciiTheme="minorHAnsi" w:eastAsia="Garamond" w:hAnsiTheme="minorHAnsi" w:cstheme="minorHAnsi"/>
          <w:color w:val="000000"/>
        </w:rPr>
      </w:pPr>
      <w:r w:rsidRPr="00685203">
        <w:rPr>
          <w:rFonts w:asciiTheme="minorHAnsi" w:hAnsiTheme="minorHAnsi" w:cstheme="minorHAnsi"/>
          <w:b/>
        </w:rPr>
        <w:t xml:space="preserve">Original </w:t>
      </w:r>
      <w:proofErr w:type="spellStart"/>
      <w:r w:rsidRPr="00685203">
        <w:rPr>
          <w:rFonts w:asciiTheme="minorHAnsi" w:hAnsiTheme="minorHAnsi" w:cstheme="minorHAnsi"/>
          <w:b/>
        </w:rPr>
        <w:t>SWATeam</w:t>
      </w:r>
      <w:proofErr w:type="spellEnd"/>
      <w:r w:rsidRPr="00685203">
        <w:rPr>
          <w:rFonts w:asciiTheme="minorHAnsi" w:hAnsiTheme="minorHAnsi" w:cstheme="minorHAnsi"/>
          <w:b/>
        </w:rPr>
        <w:t xml:space="preserve"> Recommendation:</w:t>
      </w:r>
      <w:r w:rsidRPr="00685203">
        <w:rPr>
          <w:rFonts w:asciiTheme="minorHAnsi" w:hAnsiTheme="minorHAnsi" w:cstheme="minorHAnsi"/>
        </w:rPr>
        <w:t xml:space="preserve"> </w:t>
      </w:r>
      <w:r w:rsidRPr="00685203">
        <w:rPr>
          <w:rFonts w:asciiTheme="minorHAnsi" w:hAnsiTheme="minorHAnsi" w:cstheme="minorHAnsi"/>
        </w:rPr>
        <w:br/>
      </w:r>
      <w:r w:rsidRPr="00685203">
        <w:rPr>
          <w:rFonts w:asciiTheme="minorHAnsi" w:hAnsiTheme="minorHAnsi" w:cstheme="minorHAnsi"/>
        </w:rPr>
        <w:br/>
      </w:r>
      <w:r w:rsidR="00D07022" w:rsidRPr="00D07022">
        <w:rPr>
          <w:rFonts w:asciiTheme="minorHAnsi" w:eastAsia="Garamond" w:hAnsiTheme="minorHAnsi" w:cstheme="minorHAnsi"/>
          <w:color w:val="000000"/>
        </w:rPr>
        <w:t>We recommend forming a committee to oversee integration of iCAP objectives into research/learning</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labs and to actively engage researchers to adopt sustainable lab policies. The committee should</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consist of a diverse range of stakeholders associated with sustainability and/or research on campus,</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such as F&amp;S, iSEE, DRS, OVCR, OSHA, and Energy/Engagement iCAP Sustainability Working Team</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representatives. Outcomes from the committee should include, but is not limited to, a toolkit for</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sustainable and safe lab policies, training modules for those policies, a green purchasing guide, and</w:t>
      </w:r>
    </w:p>
    <w:p w:rsidR="00D07022" w:rsidRPr="00D07022"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inventory of equipment/spaces. The training modules should be part of onboarding and a required</w:t>
      </w:r>
    </w:p>
    <w:p w:rsidR="008A3B06" w:rsidRPr="00685203" w:rsidRDefault="00D07022" w:rsidP="00D07022">
      <w:pPr>
        <w:spacing w:after="0" w:line="240" w:lineRule="auto"/>
        <w:jc w:val="left"/>
        <w:rPr>
          <w:rFonts w:asciiTheme="minorHAnsi" w:eastAsia="Garamond" w:hAnsiTheme="minorHAnsi" w:cstheme="minorHAnsi"/>
          <w:color w:val="000000"/>
        </w:rPr>
      </w:pPr>
      <w:r w:rsidRPr="00D07022">
        <w:rPr>
          <w:rFonts w:asciiTheme="minorHAnsi" w:eastAsia="Garamond" w:hAnsiTheme="minorHAnsi" w:cstheme="minorHAnsi"/>
          <w:color w:val="000000"/>
        </w:rPr>
        <w:t>component of the lab safety training modules.</w:t>
      </w:r>
    </w:p>
    <w:p w:rsidR="001660FE" w:rsidRPr="00685203" w:rsidRDefault="001660FE" w:rsidP="00111C29">
      <w:pPr>
        <w:spacing w:after="0" w:line="240" w:lineRule="auto"/>
        <w:jc w:val="left"/>
        <w:rPr>
          <w:rFonts w:asciiTheme="minorHAnsi" w:hAnsiTheme="minorHAnsi" w:cstheme="minorHAnsi"/>
          <w:szCs w:val="24"/>
        </w:rPr>
      </w:pPr>
    </w:p>
    <w:p w:rsidR="001660FE" w:rsidRPr="00685203" w:rsidRDefault="001660FE"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b/>
          <w:szCs w:val="24"/>
        </w:rPr>
      </w:pPr>
      <w:r w:rsidRPr="00685203">
        <w:rPr>
          <w:rFonts w:asciiTheme="minorHAnsi" w:hAnsiTheme="minorHAnsi" w:cstheme="minorHAnsi"/>
          <w:b/>
          <w:szCs w:val="24"/>
        </w:rPr>
        <w:t>iWG Assessment of budget and policy impacts (</w:t>
      </w:r>
      <w:r w:rsidRPr="00685203">
        <w:rPr>
          <w:rFonts w:asciiTheme="minorHAnsi" w:hAnsiTheme="minorHAnsi" w:cstheme="minorHAnsi"/>
          <w:b/>
          <w:i/>
          <w:szCs w:val="24"/>
        </w:rPr>
        <w:t>check one</w:t>
      </w:r>
      <w:r w:rsidRPr="00685203">
        <w:rPr>
          <w:rFonts w:asciiTheme="minorHAnsi" w:hAnsiTheme="minorHAnsi" w:cstheme="minorHAnsi"/>
          <w:b/>
          <w:szCs w:val="24"/>
        </w:rPr>
        <w:t>):</w:t>
      </w:r>
    </w:p>
    <w:p w:rsidR="008A3B06" w:rsidRPr="00685203" w:rsidRDefault="008A3B06" w:rsidP="00111C29">
      <w:pPr>
        <w:spacing w:after="0" w:line="240" w:lineRule="auto"/>
        <w:jc w:val="left"/>
        <w:rPr>
          <w:rFonts w:asciiTheme="minorHAnsi" w:hAnsiTheme="minorHAnsi" w:cstheme="minorHAnsi"/>
          <w:szCs w:val="24"/>
        </w:rPr>
      </w:pPr>
    </w:p>
    <w:p w:rsidR="008A3B06" w:rsidRPr="00685203" w:rsidRDefault="007D32CB" w:rsidP="00111C29">
      <w:pPr>
        <w:spacing w:after="0" w:line="240" w:lineRule="auto"/>
        <w:jc w:val="left"/>
        <w:rPr>
          <w:rFonts w:asciiTheme="minorHAnsi" w:hAnsiTheme="minorHAnsi" w:cstheme="minorHAnsi"/>
          <w:szCs w:val="24"/>
        </w:rPr>
      </w:pPr>
      <w:r w:rsidRPr="00685203">
        <w:rPr>
          <w:rFonts w:asciiTheme="minorHAnsi" w:hAnsiTheme="minorHAnsi" w:cstheme="minorHAnsi"/>
          <w:b/>
          <w:u w:val="single"/>
        </w:rPr>
        <w:t>__</w:t>
      </w:r>
      <w:r w:rsidR="00FA32E9" w:rsidRPr="00685203">
        <w:rPr>
          <w:rFonts w:asciiTheme="minorHAnsi" w:hAnsiTheme="minorHAnsi" w:cstheme="minorHAnsi"/>
          <w:b/>
          <w:u w:val="single"/>
        </w:rPr>
        <w:t>_</w:t>
      </w:r>
      <w:r w:rsidR="008A3B06" w:rsidRPr="00685203">
        <w:rPr>
          <w:rFonts w:asciiTheme="minorHAnsi" w:hAnsiTheme="minorHAnsi" w:cstheme="minorHAnsi"/>
          <w:b/>
          <w:u w:val="single"/>
        </w:rPr>
        <w:t>_</w:t>
      </w:r>
      <w:r w:rsidR="008A3B06" w:rsidRPr="00685203">
        <w:rPr>
          <w:rFonts w:asciiTheme="minorHAnsi" w:hAnsiTheme="minorHAnsi" w:cstheme="minorHAnsi"/>
        </w:rPr>
        <w:t xml:space="preserve">   </w:t>
      </w:r>
      <w:proofErr w:type="gramStart"/>
      <w:r w:rsidR="008A3B06" w:rsidRPr="00685203">
        <w:rPr>
          <w:rFonts w:asciiTheme="minorHAnsi" w:hAnsiTheme="minorHAnsi" w:cstheme="minorHAnsi"/>
        </w:rPr>
        <w:t>moderate</w:t>
      </w:r>
      <w:proofErr w:type="gramEnd"/>
      <w:r w:rsidR="008A3B06" w:rsidRPr="00685203">
        <w:rPr>
          <w:rFonts w:asciiTheme="minorHAnsi" w:hAnsiTheme="minorHAnsi" w:cstheme="minorHAnsi"/>
        </w:rPr>
        <w:t xml:space="preserve"> budget and/or policy impact   </w:t>
      </w:r>
      <w:r w:rsidR="008A3B06" w:rsidRPr="00685203">
        <w:rPr>
          <w:rFonts w:asciiTheme="minorHAnsi" w:hAnsiTheme="minorHAnsi" w:cstheme="minorHAnsi"/>
          <w:szCs w:val="24"/>
        </w:rPr>
        <w:tab/>
      </w:r>
      <w:r w:rsidR="008A3B06" w:rsidRPr="00685203">
        <w:rPr>
          <w:rFonts w:asciiTheme="minorHAnsi" w:hAnsiTheme="minorHAnsi" w:cstheme="minorHAnsi"/>
        </w:rPr>
        <w:t xml:space="preserve">OR </w:t>
      </w:r>
      <w:r w:rsidR="008A3B06" w:rsidRPr="00685203">
        <w:rPr>
          <w:rFonts w:asciiTheme="minorHAnsi" w:hAnsiTheme="minorHAnsi" w:cstheme="minorHAnsi"/>
          <w:szCs w:val="24"/>
        </w:rPr>
        <w:tab/>
      </w:r>
      <w:r w:rsidR="00721417">
        <w:rPr>
          <w:rFonts w:asciiTheme="minorHAnsi" w:hAnsiTheme="minorHAnsi" w:cstheme="minorHAnsi"/>
          <w:szCs w:val="24"/>
          <w:u w:val="single"/>
        </w:rPr>
        <w:t xml:space="preserve">  X     </w:t>
      </w:r>
      <w:r w:rsidR="008A3B06" w:rsidRPr="00685203">
        <w:rPr>
          <w:rFonts w:asciiTheme="minorHAnsi" w:hAnsiTheme="minorHAnsi" w:cstheme="minorHAnsi"/>
          <w:szCs w:val="24"/>
        </w:rPr>
        <w:t xml:space="preserve"> </w:t>
      </w:r>
      <w:r w:rsidR="008A3B06" w:rsidRPr="00685203">
        <w:rPr>
          <w:rFonts w:asciiTheme="minorHAnsi" w:hAnsiTheme="minorHAnsi" w:cstheme="minorHAnsi"/>
        </w:rPr>
        <w:t>major budget and/or policy implications</w:t>
      </w:r>
    </w:p>
    <w:p w:rsidR="008A3B06" w:rsidRPr="00685203" w:rsidRDefault="008A3B06"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b/>
          <w:szCs w:val="24"/>
        </w:rPr>
      </w:pPr>
      <w:r w:rsidRPr="00685203">
        <w:rPr>
          <w:rFonts w:asciiTheme="minorHAnsi" w:hAnsiTheme="minorHAnsi" w:cstheme="minorHAnsi"/>
          <w:b/>
          <w:szCs w:val="24"/>
        </w:rPr>
        <w:t>iWG Routing Need (</w:t>
      </w:r>
      <w:r w:rsidRPr="00685203">
        <w:rPr>
          <w:rFonts w:asciiTheme="minorHAnsi" w:hAnsiTheme="minorHAnsi" w:cstheme="minorHAnsi"/>
          <w:b/>
          <w:i/>
          <w:szCs w:val="24"/>
        </w:rPr>
        <w:t>check one</w:t>
      </w:r>
      <w:r w:rsidRPr="00685203">
        <w:rPr>
          <w:rFonts w:asciiTheme="minorHAnsi" w:hAnsiTheme="minorHAnsi" w:cstheme="minorHAnsi"/>
          <w:b/>
          <w:szCs w:val="24"/>
        </w:rPr>
        <w:t>):</w:t>
      </w:r>
    </w:p>
    <w:p w:rsidR="008A3B06" w:rsidRPr="00685203" w:rsidRDefault="008A3B06" w:rsidP="00111C29">
      <w:pPr>
        <w:spacing w:after="0" w:line="240" w:lineRule="auto"/>
        <w:jc w:val="left"/>
        <w:rPr>
          <w:rFonts w:asciiTheme="minorHAnsi" w:hAnsiTheme="minorHAnsi" w:cstheme="minorHAnsi"/>
          <w:szCs w:val="24"/>
        </w:rPr>
      </w:pPr>
    </w:p>
    <w:p w:rsidR="008A3B06" w:rsidRPr="00685203" w:rsidRDefault="008A3B06" w:rsidP="00111C29">
      <w:pPr>
        <w:spacing w:after="0" w:line="240" w:lineRule="auto"/>
        <w:jc w:val="left"/>
        <w:rPr>
          <w:rFonts w:asciiTheme="minorHAnsi" w:hAnsiTheme="minorHAnsi" w:cstheme="minorHAnsi"/>
          <w:szCs w:val="24"/>
        </w:rPr>
      </w:pPr>
      <w:r w:rsidRPr="00685203">
        <w:rPr>
          <w:rFonts w:asciiTheme="minorHAnsi" w:hAnsiTheme="minorHAnsi" w:cstheme="minorHAnsi"/>
        </w:rPr>
        <w:t>_____ more detailed study   OR _</w:t>
      </w:r>
      <w:r w:rsidR="00FA32E9" w:rsidRPr="00685203">
        <w:rPr>
          <w:rFonts w:asciiTheme="minorHAnsi" w:hAnsiTheme="minorHAnsi" w:cstheme="minorHAnsi"/>
          <w:b/>
          <w:u w:val="single"/>
        </w:rPr>
        <w:t>_</w:t>
      </w:r>
      <w:r w:rsidRPr="00685203">
        <w:rPr>
          <w:rFonts w:asciiTheme="minorHAnsi" w:hAnsiTheme="minorHAnsi" w:cstheme="minorHAnsi"/>
          <w:b/>
        </w:rPr>
        <w:t xml:space="preserve">__ </w:t>
      </w:r>
      <w:r w:rsidRPr="00685203">
        <w:rPr>
          <w:rFonts w:asciiTheme="minorHAnsi" w:hAnsiTheme="minorHAnsi" w:cstheme="minorHAnsi"/>
        </w:rPr>
        <w:t xml:space="preserve">transmit recommendation    OR </w:t>
      </w:r>
      <w:r w:rsidR="00721417">
        <w:rPr>
          <w:rFonts w:asciiTheme="minorHAnsi" w:hAnsiTheme="minorHAnsi" w:cstheme="minorHAnsi"/>
          <w:u w:val="single"/>
        </w:rPr>
        <w:t xml:space="preserve">    X      </w:t>
      </w:r>
      <w:r w:rsidRPr="00685203">
        <w:rPr>
          <w:rFonts w:asciiTheme="minorHAnsi" w:hAnsiTheme="minorHAnsi" w:cstheme="minorHAnsi"/>
        </w:rPr>
        <w:t>forward to Sustainability Council</w:t>
      </w:r>
    </w:p>
    <w:p w:rsidR="008A3B06" w:rsidRPr="00685203" w:rsidRDefault="008A3B06" w:rsidP="00111C29">
      <w:pPr>
        <w:spacing w:after="0" w:line="240" w:lineRule="auto"/>
        <w:jc w:val="left"/>
        <w:rPr>
          <w:rFonts w:asciiTheme="minorHAnsi" w:hAnsiTheme="minorHAnsi" w:cstheme="minorHAnsi"/>
          <w:szCs w:val="24"/>
        </w:rPr>
      </w:pPr>
    </w:p>
    <w:p w:rsidR="00BD6803" w:rsidRPr="00685203" w:rsidRDefault="00BD6803" w:rsidP="00111C29">
      <w:pPr>
        <w:spacing w:after="0" w:line="240" w:lineRule="auto"/>
        <w:jc w:val="left"/>
        <w:rPr>
          <w:rFonts w:asciiTheme="minorHAnsi" w:hAnsiTheme="minorHAnsi" w:cstheme="minorHAnsi"/>
          <w:szCs w:val="24"/>
        </w:rPr>
      </w:pPr>
    </w:p>
    <w:sectPr w:rsidR="00BD6803" w:rsidRPr="00685203"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065D"/>
    <w:multiLevelType w:val="hybridMultilevel"/>
    <w:tmpl w:val="B3C4F42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D75380"/>
    <w:multiLevelType w:val="multilevel"/>
    <w:tmpl w:val="25467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32280D"/>
    <w:multiLevelType w:val="multilevel"/>
    <w:tmpl w:val="57C8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731D0"/>
    <w:multiLevelType w:val="multilevel"/>
    <w:tmpl w:val="5016A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03"/>
    <w:rsid w:val="00012A80"/>
    <w:rsid w:val="0004285E"/>
    <w:rsid w:val="000668FE"/>
    <w:rsid w:val="000702CC"/>
    <w:rsid w:val="0008459C"/>
    <w:rsid w:val="00111C29"/>
    <w:rsid w:val="0015747F"/>
    <w:rsid w:val="001660FE"/>
    <w:rsid w:val="00170C1A"/>
    <w:rsid w:val="00184EB5"/>
    <w:rsid w:val="00190811"/>
    <w:rsid w:val="001C5270"/>
    <w:rsid w:val="001F2A70"/>
    <w:rsid w:val="001F3F38"/>
    <w:rsid w:val="00253D62"/>
    <w:rsid w:val="00262D7B"/>
    <w:rsid w:val="00294213"/>
    <w:rsid w:val="002D14D7"/>
    <w:rsid w:val="002D7FE0"/>
    <w:rsid w:val="00301670"/>
    <w:rsid w:val="00317122"/>
    <w:rsid w:val="00327560"/>
    <w:rsid w:val="00342E24"/>
    <w:rsid w:val="0038177D"/>
    <w:rsid w:val="003B7955"/>
    <w:rsid w:val="003C6FB9"/>
    <w:rsid w:val="0045101B"/>
    <w:rsid w:val="004C6B62"/>
    <w:rsid w:val="004E674A"/>
    <w:rsid w:val="004F2FFE"/>
    <w:rsid w:val="00533C56"/>
    <w:rsid w:val="00583846"/>
    <w:rsid w:val="00585E1A"/>
    <w:rsid w:val="005A0F3E"/>
    <w:rsid w:val="005B5274"/>
    <w:rsid w:val="005E0CFC"/>
    <w:rsid w:val="005E54CB"/>
    <w:rsid w:val="006108D2"/>
    <w:rsid w:val="006321CC"/>
    <w:rsid w:val="006432D0"/>
    <w:rsid w:val="00672A2D"/>
    <w:rsid w:val="00675329"/>
    <w:rsid w:val="00685203"/>
    <w:rsid w:val="00692A4A"/>
    <w:rsid w:val="006967D6"/>
    <w:rsid w:val="006B02E6"/>
    <w:rsid w:val="006D7029"/>
    <w:rsid w:val="006F1997"/>
    <w:rsid w:val="00713ACA"/>
    <w:rsid w:val="00721417"/>
    <w:rsid w:val="00743544"/>
    <w:rsid w:val="00743BD4"/>
    <w:rsid w:val="007869C8"/>
    <w:rsid w:val="00794BE1"/>
    <w:rsid w:val="007A63B2"/>
    <w:rsid w:val="007B3DF9"/>
    <w:rsid w:val="007B6401"/>
    <w:rsid w:val="007D32CB"/>
    <w:rsid w:val="007D6504"/>
    <w:rsid w:val="007E3882"/>
    <w:rsid w:val="007F4B28"/>
    <w:rsid w:val="0080208D"/>
    <w:rsid w:val="00804075"/>
    <w:rsid w:val="0081140F"/>
    <w:rsid w:val="0081738A"/>
    <w:rsid w:val="008461C7"/>
    <w:rsid w:val="008678E7"/>
    <w:rsid w:val="008A3B06"/>
    <w:rsid w:val="008B5B0F"/>
    <w:rsid w:val="008D0C3A"/>
    <w:rsid w:val="0092741D"/>
    <w:rsid w:val="00936343"/>
    <w:rsid w:val="009447D3"/>
    <w:rsid w:val="00946A1F"/>
    <w:rsid w:val="00987F23"/>
    <w:rsid w:val="009A6CB1"/>
    <w:rsid w:val="009C00E3"/>
    <w:rsid w:val="009F2DA5"/>
    <w:rsid w:val="00A02147"/>
    <w:rsid w:val="00A50CC3"/>
    <w:rsid w:val="00A612B7"/>
    <w:rsid w:val="00A73D31"/>
    <w:rsid w:val="00A86421"/>
    <w:rsid w:val="00AA6471"/>
    <w:rsid w:val="00AE2D8F"/>
    <w:rsid w:val="00AF6E02"/>
    <w:rsid w:val="00B95DC1"/>
    <w:rsid w:val="00B95E68"/>
    <w:rsid w:val="00B9617F"/>
    <w:rsid w:val="00BB6A00"/>
    <w:rsid w:val="00BD6803"/>
    <w:rsid w:val="00BF2D52"/>
    <w:rsid w:val="00BF4FB9"/>
    <w:rsid w:val="00C358A0"/>
    <w:rsid w:val="00C60F71"/>
    <w:rsid w:val="00D07022"/>
    <w:rsid w:val="00D447EF"/>
    <w:rsid w:val="00D87A0B"/>
    <w:rsid w:val="00D942C4"/>
    <w:rsid w:val="00DD70E7"/>
    <w:rsid w:val="00DE1308"/>
    <w:rsid w:val="00E06FC3"/>
    <w:rsid w:val="00E7057E"/>
    <w:rsid w:val="00E8310D"/>
    <w:rsid w:val="00E924E0"/>
    <w:rsid w:val="00EB0116"/>
    <w:rsid w:val="00EC0C4B"/>
    <w:rsid w:val="00EC7648"/>
    <w:rsid w:val="00ED114D"/>
    <w:rsid w:val="00ED6BBE"/>
    <w:rsid w:val="00F06868"/>
    <w:rsid w:val="00F20122"/>
    <w:rsid w:val="00F21D6A"/>
    <w:rsid w:val="00F259E2"/>
    <w:rsid w:val="00F26409"/>
    <w:rsid w:val="00F61866"/>
    <w:rsid w:val="00F62D43"/>
    <w:rsid w:val="00F766F0"/>
    <w:rsid w:val="00F81073"/>
    <w:rsid w:val="00FA0E0C"/>
    <w:rsid w:val="00FA32E9"/>
    <w:rsid w:val="00FC08FF"/>
    <w:rsid w:val="00FE2778"/>
    <w:rsid w:val="00FF3581"/>
    <w:rsid w:val="62C9E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5759"/>
  <w15:docId w15:val="{9A23CD28-67E5-4264-A68C-46A6EBAC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2A4A"/>
    <w:pPr>
      <w:pBdr>
        <w:top w:val="nil"/>
        <w:left w:val="nil"/>
        <w:bottom w:val="nil"/>
        <w:right w:val="nil"/>
        <w:between w:val="nil"/>
        <w:bar w:val="nil"/>
      </w:pBdr>
      <w:jc w:val="both"/>
    </w:pPr>
    <w:rPr>
      <w:rFonts w:ascii="Garamond" w:eastAsia="Arial Unicode MS" w:hAnsi="Garamond" w:cs="Arial Unicode MS"/>
      <w:color w:val="000000"/>
      <w:sz w:val="24"/>
      <w:szCs w:val="24"/>
      <w:u w:color="000000"/>
      <w:bdr w:val="nil"/>
    </w:rPr>
  </w:style>
  <w:style w:type="paragraph" w:styleId="ListParagraph">
    <w:name w:val="List Paragraph"/>
    <w:basedOn w:val="Normal"/>
    <w:qFormat/>
    <w:rsid w:val="005E5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556">
      <w:bodyDiv w:val="1"/>
      <w:marLeft w:val="0"/>
      <w:marRight w:val="0"/>
      <w:marTop w:val="0"/>
      <w:marBottom w:val="0"/>
      <w:divBdr>
        <w:top w:val="none" w:sz="0" w:space="0" w:color="auto"/>
        <w:left w:val="none" w:sz="0" w:space="0" w:color="auto"/>
        <w:bottom w:val="none" w:sz="0" w:space="0" w:color="auto"/>
        <w:right w:val="none" w:sz="0" w:space="0" w:color="auto"/>
      </w:divBdr>
    </w:div>
    <w:div w:id="311909322">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
    <w:div w:id="470251302">
      <w:bodyDiv w:val="1"/>
      <w:marLeft w:val="0"/>
      <w:marRight w:val="0"/>
      <w:marTop w:val="0"/>
      <w:marBottom w:val="0"/>
      <w:divBdr>
        <w:top w:val="none" w:sz="0" w:space="0" w:color="auto"/>
        <w:left w:val="none" w:sz="0" w:space="0" w:color="auto"/>
        <w:bottom w:val="none" w:sz="0" w:space="0" w:color="auto"/>
        <w:right w:val="none" w:sz="0" w:space="0" w:color="auto"/>
      </w:divBdr>
    </w:div>
    <w:div w:id="556860216">
      <w:bodyDiv w:val="1"/>
      <w:marLeft w:val="0"/>
      <w:marRight w:val="0"/>
      <w:marTop w:val="0"/>
      <w:marBottom w:val="0"/>
      <w:divBdr>
        <w:top w:val="none" w:sz="0" w:space="0" w:color="auto"/>
        <w:left w:val="none" w:sz="0" w:space="0" w:color="auto"/>
        <w:bottom w:val="none" w:sz="0" w:space="0" w:color="auto"/>
        <w:right w:val="none" w:sz="0" w:space="0" w:color="auto"/>
      </w:divBdr>
    </w:div>
    <w:div w:id="814950229">
      <w:bodyDiv w:val="1"/>
      <w:marLeft w:val="0"/>
      <w:marRight w:val="0"/>
      <w:marTop w:val="0"/>
      <w:marBottom w:val="0"/>
      <w:divBdr>
        <w:top w:val="none" w:sz="0" w:space="0" w:color="auto"/>
        <w:left w:val="none" w:sz="0" w:space="0" w:color="auto"/>
        <w:bottom w:val="none" w:sz="0" w:space="0" w:color="auto"/>
        <w:right w:val="none" w:sz="0" w:space="0" w:color="auto"/>
      </w:divBdr>
    </w:div>
    <w:div w:id="1048148162">
      <w:bodyDiv w:val="1"/>
      <w:marLeft w:val="0"/>
      <w:marRight w:val="0"/>
      <w:marTop w:val="0"/>
      <w:marBottom w:val="0"/>
      <w:divBdr>
        <w:top w:val="none" w:sz="0" w:space="0" w:color="auto"/>
        <w:left w:val="none" w:sz="0" w:space="0" w:color="auto"/>
        <w:bottom w:val="none" w:sz="0" w:space="0" w:color="auto"/>
        <w:right w:val="none" w:sz="0" w:space="0" w:color="auto"/>
      </w:divBdr>
    </w:div>
    <w:div w:id="1516068977">
      <w:bodyDiv w:val="1"/>
      <w:marLeft w:val="0"/>
      <w:marRight w:val="0"/>
      <w:marTop w:val="0"/>
      <w:marBottom w:val="0"/>
      <w:divBdr>
        <w:top w:val="none" w:sz="0" w:space="0" w:color="auto"/>
        <w:left w:val="none" w:sz="0" w:space="0" w:color="auto"/>
        <w:bottom w:val="none" w:sz="0" w:space="0" w:color="auto"/>
        <w:right w:val="none" w:sz="0" w:space="0" w:color="auto"/>
      </w:divBdr>
    </w:div>
    <w:div w:id="17791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Moore, Meredith Kaye</cp:lastModifiedBy>
  <cp:revision>11</cp:revision>
  <dcterms:created xsi:type="dcterms:W3CDTF">2021-07-30T20:28:00Z</dcterms:created>
  <dcterms:modified xsi:type="dcterms:W3CDTF">2021-11-29T18:19:00Z</dcterms:modified>
</cp:coreProperties>
</file>