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7F7F7F" w:themeColor="text1" w:themeTint="80"/>
          <w:szCs w:val="18"/>
          <w14:numForm w14:val="lining"/>
        </w:rPr>
        <w:id w:val="696284006"/>
        <w:docPartObj>
          <w:docPartGallery w:val="Cover Pages"/>
          <w:docPartUnique/>
        </w:docPartObj>
      </w:sdtPr>
      <w:sdtEndPr/>
      <w:sdtContent>
        <w:p w:rsidR="00B113E8" w:rsidRDefault="00D036AA">
          <w:pPr>
            <w:pStyle w:val="CoverLogo"/>
          </w:pPr>
          <w:sdt>
            <w:sdtPr>
              <w:rPr>
                <w:noProof/>
              </w:rPr>
              <w:alias w:val="Click icon to replace logo"/>
              <w:tag w:val="Click icon to replace logo"/>
              <w:id w:val="77807134"/>
              <w:picture/>
            </w:sdtPr>
            <w:sdtEndPr/>
            <w:sdtContent>
              <w:r w:rsidR="00D45237">
                <w:rPr>
                  <w:noProof/>
                </w:rPr>
                <w:drawing>
                  <wp:inline distT="0" distB="0" distL="0" distR="0">
                    <wp:extent cx="837686" cy="566551"/>
                    <wp:effectExtent l="0" t="0" r="635" b="5080"/>
                    <wp:docPr id="6" name="log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37686" cy="5665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</w:p>
        <w:sdt>
          <w:sdtPr>
            <w:alias w:val="Click icon to replace picture"/>
            <w:tag w:val="Click icon to replace picture"/>
            <w:id w:val="1735506185"/>
            <w:picture/>
          </w:sdtPr>
          <w:sdtEndPr/>
          <w:sdtContent>
            <w:p w:rsidR="00B113E8" w:rsidRDefault="00D45237">
              <w:pPr>
                <w:jc w:val="center"/>
              </w:pPr>
              <w:r>
                <w:rPr>
                  <w:noProof/>
                </w:rPr>
                <w:drawing>
                  <wp:inline distT="0" distB="0" distL="0" distR="0">
                    <wp:extent cx="2574630" cy="2574630"/>
                    <wp:effectExtent l="95250" t="76200" r="111760" b="854710"/>
                    <wp:docPr id="5" name="Picture 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2199624.png"/>
                            <pic:cNvPicPr/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574630" cy="2574630"/>
                            </a:xfrm>
                            <a:prstGeom prst="roundRect">
                              <a:avLst/>
                            </a:prstGeom>
                            <a:solidFill>
                              <a:srgbClr val="FFFFFF">
                                <a:shade val="85000"/>
                              </a:srgbClr>
                            </a:solidFill>
                            <a:ln w="6350" cap="sq">
                              <a:solidFill>
                                <a:srgbClr val="FFFFFF"/>
                              </a:solidFill>
                              <a:miter lim="800000"/>
                            </a:ln>
                            <a:effectLst>
                              <a:outerShdw blurRad="55000" dist="18000" dir="5400000" algn="tl" rotWithShape="0">
                                <a:srgbClr val="000000">
                                  <a:alpha val="40000"/>
                                </a:srgbClr>
                              </a:outerShdw>
                              <a:reflection blurRad="6350" stA="50000" endA="300" endPos="28500" dist="50800" dir="5400000" sy="-100000" algn="bl" rotWithShape="0"/>
                            </a:effectLst>
                            <a:scene3d>
                              <a:camera prst="orthographicFront"/>
                              <a:lightRig rig="balanced" dir="t">
                                <a:rot lat="0" lon="0" rev="2400000"/>
                              </a:lightRig>
                            </a:scene3d>
                            <a:sp3d contourW="12700">
                              <a:bevelT w="25400" h="19050"/>
                              <a:contourClr>
                                <a:srgbClr val="FFFFFF"/>
                              </a:contourClr>
                            </a:sp3d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  <w:sdt>
          <w:sdtPr>
            <w:alias w:val="Report Title"/>
            <w:tag w:val="Report Title"/>
            <w:id w:val="-1769611973"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p w:rsidR="00B113E8" w:rsidRDefault="0035043D">
              <w:pPr>
                <w:pStyle w:val="Title"/>
              </w:pPr>
              <w:r>
                <w:t>UIUC Energy Report</w:t>
              </w:r>
            </w:p>
          </w:sdtContent>
        </w:sdt>
        <w:p w:rsidR="00B113E8" w:rsidRDefault="00B525DE">
          <w:pPr>
            <w:pStyle w:val="Subtitle"/>
          </w:pPr>
          <w:r>
            <w:t xml:space="preserve">Fiscal Year </w:t>
          </w:r>
          <w:r w:rsidR="007F552B">
            <w:t>20</w:t>
          </w:r>
          <w:r w:rsidR="00E10254">
            <w:t>20</w:t>
          </w:r>
        </w:p>
        <w:p w:rsidR="00B113E8" w:rsidRDefault="00D036AA">
          <w:pPr>
            <w:pStyle w:val="CompanyInfo"/>
          </w:pPr>
        </w:p>
      </w:sdtContent>
    </w:sdt>
    <w:p w:rsidR="00B113E8" w:rsidRDefault="00D45237">
      <w:bookmarkStart w:id="0" w:name="_Toc291846939"/>
      <w:r>
        <w:br w:type="page"/>
      </w:r>
    </w:p>
    <w:p w:rsidR="00B113E8" w:rsidRDefault="00D45237">
      <w:pPr>
        <w:pStyle w:val="Heading1"/>
      </w:pPr>
      <w:r>
        <w:lastRenderedPageBreak/>
        <w:t>Summary</w:t>
      </w:r>
      <w:bookmarkEnd w:id="0"/>
    </w:p>
    <w:p w:rsidR="00B113E8" w:rsidRDefault="00CC2663" w:rsidP="00CC2663">
      <w:pPr>
        <w:rPr>
          <w:noProof/>
        </w:rPr>
      </w:pPr>
      <w:r>
        <w:rPr>
          <w:noProof/>
        </w:rPr>
        <w:t xml:space="preserve"> The Urbana-Champaign </w:t>
      </w:r>
      <w:r w:rsidR="00942C41">
        <w:rPr>
          <w:noProof/>
        </w:rPr>
        <w:t>C</w:t>
      </w:r>
      <w:r>
        <w:rPr>
          <w:noProof/>
        </w:rPr>
        <w:t xml:space="preserve">ampus of the University of Illinois has made subtantial commitments towards conserving energy and other utilities and </w:t>
      </w:r>
      <w:r w:rsidR="00B525DE">
        <w:rPr>
          <w:noProof/>
        </w:rPr>
        <w:t xml:space="preserve">has </w:t>
      </w:r>
      <w:r>
        <w:rPr>
          <w:noProof/>
        </w:rPr>
        <w:t xml:space="preserve">made </w:t>
      </w:r>
      <w:r w:rsidR="00B525DE">
        <w:rPr>
          <w:noProof/>
        </w:rPr>
        <w:t xml:space="preserve">significant </w:t>
      </w:r>
      <w:r>
        <w:rPr>
          <w:noProof/>
        </w:rPr>
        <w:t xml:space="preserve">progress toward our </w:t>
      </w:r>
      <w:r w:rsidR="00DC7B2C">
        <w:rPr>
          <w:noProof/>
        </w:rPr>
        <w:t>s</w:t>
      </w:r>
      <w:r>
        <w:rPr>
          <w:noProof/>
        </w:rPr>
        <w:t>ustainability goals published in the Illinois Climate Action Plan (iC</w:t>
      </w:r>
      <w:r w:rsidR="00B525DE">
        <w:rPr>
          <w:noProof/>
        </w:rPr>
        <w:t>AP</w:t>
      </w:r>
      <w:r>
        <w:rPr>
          <w:noProof/>
        </w:rPr>
        <w:t xml:space="preserve">.)  Recently,the Utilities and Energy Services </w:t>
      </w:r>
      <w:r w:rsidR="00DA2D31">
        <w:rPr>
          <w:noProof/>
        </w:rPr>
        <w:t>D</w:t>
      </w:r>
      <w:r>
        <w:rPr>
          <w:noProof/>
        </w:rPr>
        <w:t>ivision of Faciliti</w:t>
      </w:r>
      <w:r w:rsidR="00191318">
        <w:rPr>
          <w:noProof/>
        </w:rPr>
        <w:t>e</w:t>
      </w:r>
      <w:r>
        <w:rPr>
          <w:noProof/>
        </w:rPr>
        <w:t xml:space="preserve">s </w:t>
      </w:r>
      <w:r w:rsidR="00840FC8">
        <w:rPr>
          <w:noProof/>
        </w:rPr>
        <w:t>&amp;</w:t>
      </w:r>
      <w:r>
        <w:rPr>
          <w:noProof/>
        </w:rPr>
        <w:t xml:space="preserve"> Services </w:t>
      </w:r>
      <w:r w:rsidR="00B525DE">
        <w:rPr>
          <w:noProof/>
        </w:rPr>
        <w:t xml:space="preserve">(F&amp;S) </w:t>
      </w:r>
      <w:r>
        <w:rPr>
          <w:noProof/>
        </w:rPr>
        <w:t>created a</w:t>
      </w:r>
      <w:r w:rsidR="00DA2D31">
        <w:rPr>
          <w:noProof/>
        </w:rPr>
        <w:t>n</w:t>
      </w:r>
      <w:r>
        <w:rPr>
          <w:noProof/>
        </w:rPr>
        <w:t xml:space="preserve"> </w:t>
      </w:r>
      <w:r w:rsidR="00DA2D31">
        <w:rPr>
          <w:noProof/>
        </w:rPr>
        <w:t xml:space="preserve">energy </w:t>
      </w:r>
      <w:r>
        <w:rPr>
          <w:noProof/>
        </w:rPr>
        <w:t xml:space="preserve">report card to </w:t>
      </w:r>
      <w:r w:rsidR="00942C41">
        <w:rPr>
          <w:noProof/>
        </w:rPr>
        <w:t xml:space="preserve">inform </w:t>
      </w:r>
      <w:r w:rsidR="00B525DE">
        <w:rPr>
          <w:noProof/>
        </w:rPr>
        <w:t xml:space="preserve">campus </w:t>
      </w:r>
      <w:r w:rsidR="00942C41">
        <w:rPr>
          <w:noProof/>
        </w:rPr>
        <w:t xml:space="preserve">leadership </w:t>
      </w:r>
      <w:r w:rsidR="00B525DE">
        <w:rPr>
          <w:noProof/>
        </w:rPr>
        <w:t xml:space="preserve">and management </w:t>
      </w:r>
      <w:r w:rsidR="00942C41">
        <w:rPr>
          <w:noProof/>
        </w:rPr>
        <w:t>team</w:t>
      </w:r>
      <w:r w:rsidR="00DA2D31">
        <w:rPr>
          <w:noProof/>
        </w:rPr>
        <w:t>s</w:t>
      </w:r>
      <w:r w:rsidR="00942C41">
        <w:rPr>
          <w:noProof/>
        </w:rPr>
        <w:t xml:space="preserve"> regarding</w:t>
      </w:r>
      <w:r>
        <w:rPr>
          <w:noProof/>
        </w:rPr>
        <w:t xml:space="preserve"> progress towards </w:t>
      </w:r>
      <w:r w:rsidR="00B525DE">
        <w:rPr>
          <w:noProof/>
        </w:rPr>
        <w:t xml:space="preserve">meeting </w:t>
      </w:r>
      <w:r>
        <w:rPr>
          <w:noProof/>
        </w:rPr>
        <w:t>our goals.</w:t>
      </w:r>
    </w:p>
    <w:p w:rsidR="00784F84" w:rsidRDefault="00784F84" w:rsidP="00CC2663">
      <w:pPr>
        <w:rPr>
          <w:noProof/>
        </w:rPr>
      </w:pPr>
      <w:r>
        <w:rPr>
          <w:noProof/>
        </w:rPr>
        <w:t>During 20</w:t>
      </w:r>
      <w:r w:rsidR="00D036AA">
        <w:rPr>
          <w:noProof/>
        </w:rPr>
        <w:t>20</w:t>
      </w:r>
      <w:r>
        <w:rPr>
          <w:noProof/>
        </w:rPr>
        <w:t xml:space="preserve">, the Urbana-Champaign campus used a total of </w:t>
      </w:r>
      <w:r w:rsidR="00D036AA">
        <w:rPr>
          <w:noProof/>
        </w:rPr>
        <w:t>3,811,152</w:t>
      </w:r>
      <w:r w:rsidR="00F93AF3">
        <w:rPr>
          <w:noProof/>
        </w:rPr>
        <w:t xml:space="preserve"> Million BTU’s </w:t>
      </w:r>
      <w:r w:rsidR="00B525DE">
        <w:rPr>
          <w:noProof/>
        </w:rPr>
        <w:t xml:space="preserve">(MBTU) </w:t>
      </w:r>
      <w:r w:rsidR="00F93AF3">
        <w:rPr>
          <w:noProof/>
        </w:rPr>
        <w:t>for the entire campus served by campus utilities.  A BTU (or British Thermal Unit</w:t>
      </w:r>
      <w:r w:rsidR="00B525DE">
        <w:rPr>
          <w:noProof/>
        </w:rPr>
        <w:t>s</w:t>
      </w:r>
      <w:r w:rsidR="00F93AF3">
        <w:rPr>
          <w:noProof/>
        </w:rPr>
        <w:t>) is a unit of heat measurement used to common-size all energy input sources like electricity and fuels.  Over the util</w:t>
      </w:r>
      <w:r w:rsidR="00B525DE">
        <w:rPr>
          <w:noProof/>
        </w:rPr>
        <w:t xml:space="preserve">ity service area of </w:t>
      </w:r>
      <w:r w:rsidR="00D036AA">
        <w:rPr>
          <w:noProof/>
        </w:rPr>
        <w:t>22,379,164</w:t>
      </w:r>
      <w:r w:rsidR="00B525DE">
        <w:rPr>
          <w:noProof/>
        </w:rPr>
        <w:t xml:space="preserve"> gross square feet, </w:t>
      </w:r>
      <w:r w:rsidR="00F93AF3">
        <w:rPr>
          <w:noProof/>
        </w:rPr>
        <w:t xml:space="preserve">this factors out to </w:t>
      </w:r>
      <w:r w:rsidR="00D036AA">
        <w:rPr>
          <w:noProof/>
        </w:rPr>
        <w:t>173,580</w:t>
      </w:r>
      <w:r w:rsidR="00F93AF3">
        <w:rPr>
          <w:noProof/>
        </w:rPr>
        <w:t xml:space="preserve"> </w:t>
      </w:r>
      <w:r w:rsidR="00656AD9">
        <w:rPr>
          <w:noProof/>
        </w:rPr>
        <w:t>BTU</w:t>
      </w:r>
      <w:r w:rsidR="00F93AF3">
        <w:rPr>
          <w:noProof/>
        </w:rPr>
        <w:t xml:space="preserve">’s per square foot, also known as the Energy Utilization Index or EUI.  We use the EUI to compare and contrast energy utilization and density in our buildings.  </w:t>
      </w:r>
      <w:r w:rsidR="00B22570">
        <w:rPr>
          <w:noProof/>
        </w:rPr>
        <w:t>An average household, according to the Energy Information Admini</w:t>
      </w:r>
      <w:r w:rsidR="00DA2D31">
        <w:rPr>
          <w:noProof/>
        </w:rPr>
        <w:t>s</w:t>
      </w:r>
      <w:r w:rsidR="00B22570">
        <w:rPr>
          <w:noProof/>
        </w:rPr>
        <w:t xml:space="preserve">tration, uses 46,100 </w:t>
      </w:r>
      <w:r w:rsidR="00656AD9">
        <w:rPr>
          <w:noProof/>
        </w:rPr>
        <w:t>BTU</w:t>
      </w:r>
      <w:r w:rsidR="00B22570">
        <w:rPr>
          <w:noProof/>
        </w:rPr>
        <w:t>s per gsf over the course of a year.  In total</w:t>
      </w:r>
      <w:r w:rsidR="00656AD9">
        <w:rPr>
          <w:noProof/>
        </w:rPr>
        <w:t>,</w:t>
      </w:r>
      <w:r w:rsidR="00B22570">
        <w:rPr>
          <w:noProof/>
        </w:rPr>
        <w:t xml:space="preserve"> a household of 2,000 sf in the </w:t>
      </w:r>
      <w:r w:rsidR="00B525DE">
        <w:rPr>
          <w:noProof/>
        </w:rPr>
        <w:t>M</w:t>
      </w:r>
      <w:r w:rsidR="00B22570">
        <w:rPr>
          <w:noProof/>
        </w:rPr>
        <w:t xml:space="preserve">idwest would use a total of 92.2 MBTU’s.  Thus the campus usage is the equivalent of </w:t>
      </w:r>
      <w:r w:rsidR="002650F6">
        <w:rPr>
          <w:noProof/>
        </w:rPr>
        <w:t>52,400</w:t>
      </w:r>
      <w:r w:rsidR="00B22570">
        <w:rPr>
          <w:noProof/>
        </w:rPr>
        <w:t xml:space="preserve"> households.</w:t>
      </w:r>
      <w:r w:rsidR="002650F6">
        <w:rPr>
          <w:noProof/>
        </w:rPr>
        <w:t xml:space="preserve">  Please note for the purposes of providing meaningful comparisons, the data from the National Petascale Computing Facility (Petascale) has been omitted.</w:t>
      </w:r>
    </w:p>
    <w:p w:rsidR="00B22570" w:rsidRDefault="00656AD9" w:rsidP="00CC2663">
      <w:pPr>
        <w:rPr>
          <w:noProof/>
        </w:rPr>
      </w:pPr>
      <w:r>
        <w:rPr>
          <w:noProof/>
        </w:rPr>
        <w:t>In contrast, d</w:t>
      </w:r>
      <w:r w:rsidR="00D036AA">
        <w:rPr>
          <w:noProof/>
        </w:rPr>
        <w:t>uring FY 2019</w:t>
      </w:r>
      <w:r w:rsidR="00B22570">
        <w:rPr>
          <w:noProof/>
        </w:rPr>
        <w:t xml:space="preserve"> the campus used a total of </w:t>
      </w:r>
      <w:r w:rsidR="00D036AA">
        <w:rPr>
          <w:noProof/>
        </w:rPr>
        <w:t>4,267,586</w:t>
      </w:r>
      <w:r w:rsidR="00B22570">
        <w:rPr>
          <w:noProof/>
        </w:rPr>
        <w:t xml:space="preserve"> </w:t>
      </w:r>
      <w:r w:rsidR="00B525DE">
        <w:rPr>
          <w:noProof/>
        </w:rPr>
        <w:t>MBTU</w:t>
      </w:r>
      <w:r>
        <w:rPr>
          <w:noProof/>
        </w:rPr>
        <w:t>s</w:t>
      </w:r>
      <w:r w:rsidR="00B22570">
        <w:rPr>
          <w:noProof/>
        </w:rPr>
        <w:t xml:space="preserve"> or </w:t>
      </w:r>
      <w:r w:rsidR="00D036AA">
        <w:rPr>
          <w:noProof/>
        </w:rPr>
        <w:t>187,656</w:t>
      </w:r>
      <w:r w:rsidR="00B22570">
        <w:rPr>
          <w:noProof/>
        </w:rPr>
        <w:t xml:space="preserve"> </w:t>
      </w:r>
      <w:r>
        <w:rPr>
          <w:noProof/>
        </w:rPr>
        <w:t>BTU</w:t>
      </w:r>
      <w:r w:rsidR="00B22570">
        <w:rPr>
          <w:noProof/>
        </w:rPr>
        <w:t xml:space="preserve">s per gsf.  The </w:t>
      </w:r>
      <w:r w:rsidR="00D036AA">
        <w:rPr>
          <w:noProof/>
        </w:rPr>
        <w:t>de</w:t>
      </w:r>
      <w:r w:rsidR="00B22570">
        <w:rPr>
          <w:noProof/>
        </w:rPr>
        <w:t xml:space="preserve">crease of </w:t>
      </w:r>
      <w:r w:rsidR="00D036AA">
        <w:rPr>
          <w:noProof/>
        </w:rPr>
        <w:t>10.7</w:t>
      </w:r>
      <w:r w:rsidR="002650F6">
        <w:rPr>
          <w:noProof/>
        </w:rPr>
        <w:t xml:space="preserve">% can be attributed to </w:t>
      </w:r>
      <w:r>
        <w:rPr>
          <w:noProof/>
        </w:rPr>
        <w:t xml:space="preserve">weather </w:t>
      </w:r>
      <w:r w:rsidR="00B22570">
        <w:rPr>
          <w:noProof/>
        </w:rPr>
        <w:t xml:space="preserve">differences.  Overall since 2007, the UIUC campus has decreased usage from 312,124 </w:t>
      </w:r>
      <w:r>
        <w:rPr>
          <w:noProof/>
        </w:rPr>
        <w:t>BTU</w:t>
      </w:r>
      <w:r w:rsidR="00B22570">
        <w:rPr>
          <w:noProof/>
        </w:rPr>
        <w:t xml:space="preserve">s per sf to </w:t>
      </w:r>
      <w:r w:rsidR="002650F6">
        <w:rPr>
          <w:noProof/>
        </w:rPr>
        <w:t xml:space="preserve">230,024 </w:t>
      </w:r>
      <w:r>
        <w:rPr>
          <w:noProof/>
        </w:rPr>
        <w:t>BTU</w:t>
      </w:r>
      <w:r w:rsidR="00B22570">
        <w:rPr>
          <w:noProof/>
        </w:rPr>
        <w:t xml:space="preserve">s per sf;  </w:t>
      </w:r>
      <w:r w:rsidR="00B22570" w:rsidRPr="00656AD9">
        <w:rPr>
          <w:b/>
          <w:noProof/>
        </w:rPr>
        <w:t xml:space="preserve">a decrease of </w:t>
      </w:r>
      <w:r w:rsidR="002650F6">
        <w:rPr>
          <w:b/>
          <w:noProof/>
        </w:rPr>
        <w:t>26.3</w:t>
      </w:r>
      <w:r w:rsidR="00B22570" w:rsidRPr="00656AD9">
        <w:rPr>
          <w:b/>
          <w:noProof/>
        </w:rPr>
        <w:t>%.</w:t>
      </w:r>
      <w:r w:rsidR="00B22570">
        <w:rPr>
          <w:noProof/>
        </w:rPr>
        <w:t xml:space="preserve">  Much of this decline can be attributed to the investments in retro-commissioning </w:t>
      </w:r>
      <w:r w:rsidR="00DA2D31">
        <w:rPr>
          <w:noProof/>
        </w:rPr>
        <w:t xml:space="preserve">existing </w:t>
      </w:r>
      <w:r w:rsidR="00B22570">
        <w:rPr>
          <w:noProof/>
        </w:rPr>
        <w:t xml:space="preserve">buildings and </w:t>
      </w:r>
      <w:r w:rsidR="00DA2D31">
        <w:rPr>
          <w:noProof/>
        </w:rPr>
        <w:t xml:space="preserve">new </w:t>
      </w:r>
      <w:r w:rsidR="00B22570">
        <w:rPr>
          <w:noProof/>
        </w:rPr>
        <w:t>buildings with higher energy efficiencies.</w:t>
      </w:r>
    </w:p>
    <w:p w:rsidR="00B113E8" w:rsidRDefault="00FB5035" w:rsidP="00C8642A">
      <w:r>
        <w:rPr>
          <w:noProof/>
        </w:rPr>
        <w:t xml:space="preserve">In terms of </w:t>
      </w:r>
      <w:r w:rsidR="00656AD9">
        <w:rPr>
          <w:noProof/>
        </w:rPr>
        <w:t>college, auxiliary and unit</w:t>
      </w:r>
      <w:r>
        <w:rPr>
          <w:noProof/>
        </w:rPr>
        <w:t xml:space="preserve"> usage, </w:t>
      </w:r>
      <w:r w:rsidR="00656AD9">
        <w:rPr>
          <w:noProof/>
        </w:rPr>
        <w:t>s</w:t>
      </w:r>
      <w:r>
        <w:rPr>
          <w:noProof/>
        </w:rPr>
        <w:t>ince 201</w:t>
      </w:r>
      <w:r w:rsidR="002650F6">
        <w:rPr>
          <w:noProof/>
        </w:rPr>
        <w:t>2</w:t>
      </w:r>
      <w:r w:rsidR="00840FC8">
        <w:rPr>
          <w:noProof/>
        </w:rPr>
        <w:t>,</w:t>
      </w:r>
      <w:r>
        <w:rPr>
          <w:noProof/>
        </w:rPr>
        <w:t xml:space="preserve"> 1</w:t>
      </w:r>
      <w:r w:rsidR="005D1F0A">
        <w:rPr>
          <w:noProof/>
        </w:rPr>
        <w:t>6</w:t>
      </w:r>
      <w:r>
        <w:rPr>
          <w:noProof/>
        </w:rPr>
        <w:t xml:space="preserve"> </w:t>
      </w:r>
      <w:r w:rsidR="00656AD9">
        <w:rPr>
          <w:noProof/>
        </w:rPr>
        <w:t xml:space="preserve">have </w:t>
      </w:r>
      <w:r>
        <w:rPr>
          <w:noProof/>
        </w:rPr>
        <w:t>show</w:t>
      </w:r>
      <w:r w:rsidR="00656AD9">
        <w:rPr>
          <w:noProof/>
        </w:rPr>
        <w:t>n</w:t>
      </w:r>
      <w:r>
        <w:rPr>
          <w:noProof/>
        </w:rPr>
        <w:t xml:space="preserve"> overall reductions in energy consumptio</w:t>
      </w:r>
      <w:r w:rsidR="00DA2D31">
        <w:rPr>
          <w:noProof/>
        </w:rPr>
        <w:t>n</w:t>
      </w:r>
      <w:r>
        <w:rPr>
          <w:noProof/>
        </w:rPr>
        <w:t xml:space="preserve"> expressed in terms of </w:t>
      </w:r>
      <w:r w:rsidR="00656AD9">
        <w:rPr>
          <w:noProof/>
        </w:rPr>
        <w:t>BTU</w:t>
      </w:r>
      <w:r>
        <w:rPr>
          <w:noProof/>
        </w:rPr>
        <w:t xml:space="preserve">s per gsf, while </w:t>
      </w:r>
      <w:r w:rsidR="005D1F0A">
        <w:rPr>
          <w:noProof/>
        </w:rPr>
        <w:t>8</w:t>
      </w:r>
      <w:r w:rsidR="002650F6">
        <w:rPr>
          <w:noProof/>
        </w:rPr>
        <w:t xml:space="preserve"> </w:t>
      </w:r>
      <w:r>
        <w:rPr>
          <w:noProof/>
        </w:rPr>
        <w:t>show</w:t>
      </w:r>
      <w:bookmarkStart w:id="1" w:name="_GoBack"/>
      <w:bookmarkEnd w:id="1"/>
      <w:r>
        <w:rPr>
          <w:noProof/>
        </w:rPr>
        <w:t>ed some increase.  Th</w:t>
      </w:r>
      <w:r w:rsidR="00656AD9">
        <w:rPr>
          <w:noProof/>
        </w:rPr>
        <w:t>er</w:t>
      </w:r>
      <w:r>
        <w:rPr>
          <w:noProof/>
        </w:rPr>
        <w:t xml:space="preserve">e </w:t>
      </w:r>
      <w:r w:rsidR="00656AD9">
        <w:rPr>
          <w:noProof/>
        </w:rPr>
        <w:t>are</w:t>
      </w:r>
      <w:r>
        <w:rPr>
          <w:noProof/>
        </w:rPr>
        <w:t xml:space="preserve"> a variety of reasons including research energy intensity, </w:t>
      </w:r>
      <w:r w:rsidR="00656AD9">
        <w:rPr>
          <w:noProof/>
        </w:rPr>
        <w:t xml:space="preserve">changes in </w:t>
      </w:r>
      <w:r>
        <w:rPr>
          <w:noProof/>
        </w:rPr>
        <w:t>building use</w:t>
      </w:r>
      <w:r w:rsidR="00656AD9">
        <w:rPr>
          <w:noProof/>
        </w:rPr>
        <w:t xml:space="preserve"> and</w:t>
      </w:r>
      <w:r>
        <w:rPr>
          <w:noProof/>
        </w:rPr>
        <w:t xml:space="preserve"> building density, </w:t>
      </w:r>
      <w:r w:rsidR="002650F6">
        <w:rPr>
          <w:noProof/>
        </w:rPr>
        <w:t>and weather</w:t>
      </w:r>
      <w:r w:rsidR="00656AD9">
        <w:rPr>
          <w:noProof/>
        </w:rPr>
        <w:t xml:space="preserve"> that could affect this</w:t>
      </w:r>
      <w:r>
        <w:rPr>
          <w:noProof/>
        </w:rPr>
        <w:t>.</w:t>
      </w:r>
      <w:r w:rsidR="00656AD9">
        <w:rPr>
          <w:noProof/>
        </w:rPr>
        <w:t xml:space="preserve"> T</w:t>
      </w:r>
      <w:r>
        <w:rPr>
          <w:noProof/>
        </w:rPr>
        <w:t xml:space="preserve">he following chart shows </w:t>
      </w:r>
      <w:r w:rsidR="00656AD9">
        <w:rPr>
          <w:noProof/>
        </w:rPr>
        <w:t>these units</w:t>
      </w:r>
      <w:r w:rsidR="00404784">
        <w:rPr>
          <w:noProof/>
        </w:rPr>
        <w:t xml:space="preserve"> </w:t>
      </w:r>
      <w:r>
        <w:rPr>
          <w:noProof/>
        </w:rPr>
        <w:t xml:space="preserve">on campus and a </w:t>
      </w:r>
      <w:r w:rsidR="005D1F0A">
        <w:rPr>
          <w:noProof/>
        </w:rPr>
        <w:t>four</w:t>
      </w:r>
      <w:r w:rsidR="00DA2D31">
        <w:rPr>
          <w:noProof/>
        </w:rPr>
        <w:t>-</w:t>
      </w:r>
      <w:r>
        <w:rPr>
          <w:noProof/>
        </w:rPr>
        <w:t>year history of EUI:</w:t>
      </w:r>
      <w:r w:rsidR="00C8642A">
        <w:rPr>
          <w:noProof/>
        </w:rPr>
        <w:drawing>
          <wp:inline distT="0" distB="0" distL="0" distR="0" wp14:anchorId="7167A14E" wp14:editId="0813B764">
            <wp:extent cx="6448425" cy="3724275"/>
            <wp:effectExtent l="0" t="0" r="9525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113E8" w:rsidRDefault="00FB5035">
      <w:pPr>
        <w:pStyle w:val="Heading1"/>
      </w:pPr>
      <w:bookmarkStart w:id="2" w:name="_Toc291846940"/>
      <w:r>
        <w:lastRenderedPageBreak/>
        <w:t>C</w:t>
      </w:r>
      <w:bookmarkEnd w:id="2"/>
      <w:r>
        <w:t xml:space="preserve">ollege </w:t>
      </w:r>
      <w:r w:rsidR="009D716A">
        <w:t xml:space="preserve">and Unit </w:t>
      </w:r>
      <w:r>
        <w:t>Reports</w:t>
      </w:r>
    </w:p>
    <w:p w:rsidR="00B113E8" w:rsidRDefault="00F9124F" w:rsidP="00F9124F">
      <w:pPr>
        <w:spacing w:after="200"/>
      </w:pPr>
      <w:r>
        <w:t>The data on the above chart is compiled from our Energy Billing System database which allocates usage and cost to departments</w:t>
      </w:r>
      <w:r w:rsidR="009D716A">
        <w:t xml:space="preserve"> and administrative units</w:t>
      </w:r>
      <w:r>
        <w:t xml:space="preserve"> depending on their space allocation of a building</w:t>
      </w:r>
      <w:r w:rsidR="009D716A">
        <w:t>.  Mit</w:t>
      </w:r>
      <w:r>
        <w:t>igating factors</w:t>
      </w:r>
      <w:r w:rsidR="009D716A">
        <w:t>, such as fume hoods and animal rooms</w:t>
      </w:r>
      <w:r>
        <w:t xml:space="preserve"> </w:t>
      </w:r>
      <w:r w:rsidR="009D716A">
        <w:t>are e</w:t>
      </w:r>
      <w:r>
        <w:t xml:space="preserve">nergy intensive </w:t>
      </w:r>
      <w:r w:rsidR="002650F6">
        <w:t>resources</w:t>
      </w:r>
      <w:r>
        <w:t xml:space="preserve"> </w:t>
      </w:r>
      <w:r w:rsidR="00DA2D31">
        <w:t xml:space="preserve">and </w:t>
      </w:r>
      <w:r w:rsidR="009D716A">
        <w:t>drive</w:t>
      </w:r>
      <w:r>
        <w:t xml:space="preserve"> a higher proportionate share of the building allocation depending on the amount of outside air exchanged.  The indice</w:t>
      </w:r>
      <w:r w:rsidR="00DA2D31">
        <w:t>s</w:t>
      </w:r>
      <w:r>
        <w:t xml:space="preserve"> used for building space allocation are downloaded from the Archibus </w:t>
      </w:r>
      <w:r w:rsidR="005D1F0A">
        <w:t>building space management system</w:t>
      </w:r>
      <w:r>
        <w:t xml:space="preserve"> once per semester and used to allocate cost and usage to each department.</w:t>
      </w:r>
    </w:p>
    <w:p w:rsidR="00F9124F" w:rsidRDefault="00F9124F" w:rsidP="00F9124F">
      <w:pPr>
        <w:spacing w:after="200"/>
      </w:pPr>
      <w:r>
        <w:t>The attached reports reflect usage cost and energy intensity</w:t>
      </w:r>
      <w:r w:rsidR="009D716A">
        <w:t xml:space="preserve"> cost and </w:t>
      </w:r>
      <w:r w:rsidR="00E7787C">
        <w:t>usage for all building space allocated to the unit or department and is</w:t>
      </w:r>
      <w:r w:rsidR="009D716A">
        <w:t xml:space="preserve"> described below:</w:t>
      </w:r>
    </w:p>
    <w:tbl>
      <w:tblPr>
        <w:tblStyle w:val="TableGrid"/>
        <w:tblW w:w="10278" w:type="dxa"/>
        <w:tblBorders>
          <w:top w:val="none" w:sz="0" w:space="0" w:color="auto"/>
          <w:left w:val="none" w:sz="0" w:space="0" w:color="auto"/>
          <w:bottom w:val="dashSmallGap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Table with right sidebar"/>
      </w:tblPr>
      <w:tblGrid>
        <w:gridCol w:w="6608"/>
        <w:gridCol w:w="3670"/>
      </w:tblGrid>
      <w:tr w:rsidR="00B113E8">
        <w:tc>
          <w:tcPr>
            <w:tcW w:w="6608" w:type="dxa"/>
          </w:tcPr>
          <w:bookmarkStart w:id="3" w:name="_Toc291846941"/>
          <w:bookmarkStart w:id="4" w:name="_Toc290225026"/>
          <w:p w:rsidR="00B113E8" w:rsidRDefault="007470C0">
            <w:pPr>
              <w:pStyle w:val="Heading2"/>
              <w:outlineLvl w:val="1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0" allowOverlap="1" wp14:anchorId="5AFA8CA6" wp14:editId="58F2A833">
                      <wp:simplePos x="0" y="0"/>
                      <wp:positionH relativeFrom="page">
                        <wp:posOffset>4886325</wp:posOffset>
                      </wp:positionH>
                      <wp:positionV relativeFrom="page">
                        <wp:posOffset>3486150</wp:posOffset>
                      </wp:positionV>
                      <wp:extent cx="2209800" cy="2638425"/>
                      <wp:effectExtent l="0" t="0" r="0" b="9525"/>
                      <wp:wrapNone/>
                      <wp:docPr id="17" name="Sidebar Background" descr="Sidebar graphic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0" cy="2638425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chemeClr val="bg1">
                                      <a:lumMod val="85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5400000" scaled="0"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90B0E9" id="Sidebar Background" o:spid="_x0000_s1026" alt="Sidebar graphic" style="position:absolute;margin-left:384.75pt;margin-top:274.5pt;width:174pt;height:207.7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" o:allowincell="f" fillcolor="#d8d8d8 [2732]" stroked="f" strokeweight="1.3333mm">
                      <v:fill color2="white [3212]" focus="100%" type="gradient">
                        <o:fill v:ext="view" type="gradientUnscaled"/>
                      </v:fill>
                      <v:stroke linestyle="thickThin"/>
                      <w10:wrap anchorx="page" anchory="page"/>
                    </v:rect>
                  </w:pict>
                </mc:Fallback>
              </mc:AlternateContent>
            </w:r>
            <w:r w:rsidR="009D716A">
              <w:t>E</w:t>
            </w:r>
            <w:bookmarkEnd w:id="3"/>
            <w:r w:rsidR="009D716A">
              <w:t xml:space="preserve">nergy </w:t>
            </w:r>
            <w:r w:rsidR="00DD6595">
              <w:t>Utilization Index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00"/>
              <w:gridCol w:w="3692"/>
            </w:tblGrid>
            <w:tr w:rsidR="00B113E8">
              <w:tc>
                <w:tcPr>
                  <w:tcW w:w="2700" w:type="dxa"/>
                  <w:tcMar>
                    <w:left w:w="0" w:type="dxa"/>
                    <w:right w:w="0" w:type="dxa"/>
                  </w:tcMar>
                </w:tcPr>
                <w:p w:rsidR="00B113E8" w:rsidRDefault="009D716A">
                  <w:pPr>
                    <w:pStyle w:val="Heading3"/>
                    <w:outlineLvl w:val="2"/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pPr>
                  <w:bookmarkStart w:id="5" w:name="_Toc291846942"/>
                  <w:bookmarkEnd w:id="4"/>
                  <w:r>
                    <w:t>E</w:t>
                  </w:r>
                  <w:bookmarkEnd w:id="5"/>
                  <w:r>
                    <w:t xml:space="preserve">UI- </w:t>
                  </w:r>
                  <w:r w:rsidR="00404784">
                    <w:t>BTU</w:t>
                  </w:r>
                  <w:r>
                    <w:t>s per GSF</w:t>
                  </w:r>
                </w:p>
                <w:p w:rsidR="00B113E8" w:rsidRDefault="009D716A" w:rsidP="00404784">
                  <w:pPr>
                    <w:spacing w:after="200"/>
                  </w:pPr>
                  <w:r>
                    <w:t xml:space="preserve">This section compares the campus </w:t>
                  </w:r>
                  <w:r w:rsidR="00DC61D0">
                    <w:t xml:space="preserve">building </w:t>
                  </w:r>
                  <w:r>
                    <w:t xml:space="preserve">average usage per </w:t>
                  </w:r>
                  <w:proofErr w:type="spellStart"/>
                  <w:r>
                    <w:t>gsf</w:t>
                  </w:r>
                  <w:proofErr w:type="spellEnd"/>
                  <w:r>
                    <w:t xml:space="preserve"> with the usage of the college or administrative unit.  </w:t>
                  </w:r>
                  <w:r w:rsidR="00DD6595">
                    <w:t xml:space="preserve">All energy usage </w:t>
                  </w:r>
                  <w:r>
                    <w:t xml:space="preserve">in a building </w:t>
                  </w:r>
                  <w:r w:rsidR="00DD6595">
                    <w:t>is</w:t>
                  </w:r>
                  <w:r>
                    <w:t xml:space="preserve"> converted to </w:t>
                  </w:r>
                  <w:r w:rsidR="00404784">
                    <w:t>BTU</w:t>
                  </w:r>
                  <w:r>
                    <w:t xml:space="preserve">s, </w:t>
                  </w:r>
                  <w:r w:rsidR="00DD6595">
                    <w:t xml:space="preserve">aggregated and divided by the amount of square footage in the building space allocated to the </w:t>
                  </w:r>
                  <w:r w:rsidR="00404784">
                    <w:t>unit</w:t>
                  </w:r>
                  <w:r w:rsidR="00DD6595">
                    <w:t>.</w:t>
                  </w:r>
                </w:p>
              </w:tc>
              <w:tc>
                <w:tcPr>
                  <w:tcW w:w="3692" w:type="dxa"/>
                  <w:tcMar>
                    <w:left w:w="115" w:type="dxa"/>
                    <w:right w:w="115" w:type="dxa"/>
                  </w:tcMar>
                  <w:vAlign w:val="center"/>
                </w:tcPr>
                <w:p w:rsidR="00B113E8" w:rsidRDefault="00DD6595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102E602F" wp14:editId="5E2CA48B">
                        <wp:extent cx="2200275" cy="1590675"/>
                        <wp:effectExtent l="0" t="0" r="0" b="0"/>
                        <wp:docPr id="2" name="Chart 2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2"/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113E8" w:rsidRDefault="00DD6595">
            <w:pPr>
              <w:pStyle w:val="Heading2"/>
              <w:outlineLvl w:val="1"/>
            </w:pPr>
            <w:bookmarkStart w:id="6" w:name="_Toc291846943"/>
            <w:r>
              <w:t>C</w:t>
            </w:r>
            <w:bookmarkEnd w:id="6"/>
            <w:r>
              <w:t xml:space="preserve">omparison of </w:t>
            </w:r>
            <w:r w:rsidR="002650F6">
              <w:t>UIUC B</w:t>
            </w:r>
            <w:r>
              <w:t xml:space="preserve">uilding </w:t>
            </w:r>
            <w:r w:rsidR="002650F6">
              <w:t>Types</w:t>
            </w:r>
          </w:p>
          <w:p w:rsidR="00B113E8" w:rsidRDefault="00DD6595" w:rsidP="002650F6">
            <w:pPr>
              <w:spacing w:after="200"/>
            </w:pPr>
            <w:r>
              <w:t xml:space="preserve">The report also includes a reference to </w:t>
            </w:r>
            <w:r w:rsidR="002650F6">
              <w:t xml:space="preserve">typical UIUC </w:t>
            </w:r>
            <w:r>
              <w:t xml:space="preserve">building spaces and their average Energy Utilization Indices by type.  This information was provided by the </w:t>
            </w:r>
            <w:r w:rsidR="002650F6">
              <w:t>UIUC Energy Billing System database.</w:t>
            </w:r>
          </w:p>
        </w:tc>
        <w:tc>
          <w:tcPr>
            <w:tcW w:w="3670" w:type="dxa"/>
            <w:tcMar>
              <w:left w:w="115" w:type="dxa"/>
              <w:right w:w="0" w:type="dxa"/>
            </w:tcMar>
          </w:tcPr>
          <w:tbl>
            <w:tblPr>
              <w:tblStyle w:val="TableGrid"/>
              <w:tblW w:w="52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  <w:tblDescription w:val="Two column table"/>
            </w:tblPr>
            <w:tblGrid>
              <w:gridCol w:w="3285"/>
              <w:gridCol w:w="1963"/>
            </w:tblGrid>
            <w:tr w:rsidR="007470C0" w:rsidTr="007470C0">
              <w:tc>
                <w:tcPr>
                  <w:tcW w:w="3285" w:type="dxa"/>
                  <w:tcMar>
                    <w:left w:w="0" w:type="dxa"/>
                    <w:right w:w="0" w:type="dxa"/>
                  </w:tcMar>
                </w:tcPr>
                <w:p w:rsidR="007470C0" w:rsidRDefault="00D036AA" w:rsidP="0039016C">
                  <w:pPr>
                    <w:pStyle w:val="Heading2"/>
                    <w:outlineLvl w:val="1"/>
                  </w:pPr>
                  <w:sdt>
                    <w:sdtPr>
                      <w:rPr>
                        <w:rFonts w:ascii="Trebuchet MS" w:eastAsia="Corbel" w:hAnsi="Trebuchet MS" w:cs="Times New Roman"/>
                      </w:rPr>
                      <w:id w:val="2116949674"/>
                      <w:text/>
                    </w:sdtPr>
                    <w:sdtEndPr/>
                    <w:sdtContent>
                      <w:r w:rsidR="007470C0">
                        <w:rPr>
                          <w:rFonts w:ascii="Trebuchet MS" w:eastAsia="Corbel" w:hAnsi="Trebuchet MS" w:cs="Times New Roman"/>
                        </w:rPr>
                        <w:t>Historical Usage Data</w:t>
                      </w:r>
                    </w:sdtContent>
                  </w:sdt>
                </w:p>
                <w:p w:rsidR="007470C0" w:rsidRDefault="007470C0" w:rsidP="00404784">
                  <w:pPr>
                    <w:spacing w:line="276" w:lineRule="auto"/>
                  </w:pPr>
                  <w:r>
                    <w:t xml:space="preserve">The remaining charts on the page show the energy consumption trends by year in </w:t>
                  </w:r>
                  <w:r w:rsidR="00404784">
                    <w:t>BTU</w:t>
                  </w:r>
                  <w:r>
                    <w:t>s per sf and in total energy expenditures.  In the commodity chart, usage trends are broken down by type of commodity used.</w:t>
                  </w:r>
                </w:p>
              </w:tc>
              <w:tc>
                <w:tcPr>
                  <w:tcW w:w="1963" w:type="dxa"/>
                  <w:tcMar>
                    <w:left w:w="115" w:type="dxa"/>
                    <w:right w:w="115" w:type="dxa"/>
                  </w:tcMar>
                  <w:vAlign w:val="bottom"/>
                </w:tcPr>
                <w:p w:rsidR="007470C0" w:rsidRDefault="007470C0" w:rsidP="0039016C">
                  <w:pPr>
                    <w:spacing w:line="276" w:lineRule="auto"/>
                  </w:pPr>
                </w:p>
              </w:tc>
            </w:tr>
          </w:tbl>
          <w:p w:rsidR="00B113E8" w:rsidRDefault="00B113E8">
            <w:pPr>
              <w:jc w:val="center"/>
            </w:pPr>
          </w:p>
        </w:tc>
      </w:tr>
    </w:tbl>
    <w:p w:rsidR="00B113E8" w:rsidRDefault="007470C0" w:rsidP="007470C0">
      <w:pPr>
        <w:spacing w:after="200"/>
      </w:pPr>
      <w:bookmarkStart w:id="7" w:name="_Toc290225029"/>
      <w:r>
        <w:rPr>
          <w:noProof/>
        </w:rPr>
        <w:drawing>
          <wp:inline distT="0" distB="0" distL="0" distR="0" wp14:anchorId="4BF1FBF3" wp14:editId="1D5B687B">
            <wp:extent cx="6324600" cy="2238375"/>
            <wp:effectExtent l="0" t="0" r="19050" b="952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bookmarkEnd w:id="7"/>
    </w:p>
    <w:sectPr w:rsidR="00B113E8" w:rsidSect="00BB62AE">
      <w:headerReference w:type="default" r:id="rId14"/>
      <w:footerReference w:type="default" r:id="rId15"/>
      <w:pgSz w:w="12240" w:h="15840" w:code="1"/>
      <w:pgMar w:top="720" w:right="1080" w:bottom="270" w:left="108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E2B" w:rsidRDefault="007A5E2B">
      <w:pPr>
        <w:spacing w:before="0" w:after="0" w:line="240" w:lineRule="auto"/>
      </w:pPr>
      <w:r>
        <w:separator/>
      </w:r>
    </w:p>
  </w:endnote>
  <w:endnote w:type="continuationSeparator" w:id="0">
    <w:p w:rsidR="007A5E2B" w:rsidRDefault="007A5E2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dashSmallGap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Description w:val="Footer with Page border"/>
    </w:tblPr>
    <w:tblGrid>
      <w:gridCol w:w="5040"/>
      <w:gridCol w:w="5040"/>
    </w:tblGrid>
    <w:tr w:rsidR="00B113E8">
      <w:tc>
        <w:tcPr>
          <w:tcW w:w="5148" w:type="dxa"/>
          <w:tcMar>
            <w:left w:w="115" w:type="dxa"/>
            <w:right w:w="115" w:type="dxa"/>
          </w:tcMar>
          <w:vAlign w:val="bottom"/>
        </w:tcPr>
        <w:p w:rsidR="00B113E8" w:rsidRDefault="00B113E8">
          <w:pPr>
            <w:pStyle w:val="NoSpacing"/>
          </w:pPr>
        </w:p>
      </w:tc>
      <w:tc>
        <w:tcPr>
          <w:tcW w:w="5148" w:type="dxa"/>
          <w:tcMar>
            <w:left w:w="115" w:type="dxa"/>
            <w:right w:w="115" w:type="dxa"/>
          </w:tcMar>
          <w:vAlign w:val="bottom"/>
        </w:tcPr>
        <w:p w:rsidR="00B113E8" w:rsidRDefault="00B113E8">
          <w:pPr>
            <w:pStyle w:val="NoSpacing"/>
            <w:rPr>
              <w:rFonts w:asciiTheme="majorHAnsi" w:hAnsiTheme="majorHAnsi"/>
              <w:sz w:val="20"/>
            </w:rPr>
          </w:pPr>
        </w:p>
      </w:tc>
    </w:tr>
  </w:tbl>
  <w:p w:rsidR="00B113E8" w:rsidRDefault="00B113E8">
    <w:pPr>
      <w:pStyle w:val="NoSpaci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E2B" w:rsidRDefault="007A5E2B">
      <w:pPr>
        <w:spacing w:before="0" w:after="0" w:line="240" w:lineRule="auto"/>
      </w:pPr>
      <w:r>
        <w:separator/>
      </w:r>
    </w:p>
  </w:footnote>
  <w:footnote w:type="continuationSeparator" w:id="0">
    <w:p w:rsidR="007A5E2B" w:rsidRDefault="007A5E2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dashSmallGap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Description w:val="Heade borderr with Logo and Page number."/>
    </w:tblPr>
    <w:tblGrid>
      <w:gridCol w:w="5080"/>
      <w:gridCol w:w="5000"/>
    </w:tblGrid>
    <w:tr w:rsidR="00B113E8">
      <w:sdt>
        <w:sdtPr>
          <w:rPr>
            <w:noProof/>
          </w:rPr>
          <w:alias w:val="Click icon to replace logo"/>
          <w:tag w:val="Click icon to replace logo"/>
          <w:id w:val="1119261312"/>
          <w:picture/>
        </w:sdtPr>
        <w:sdtEndPr/>
        <w:sdtContent>
          <w:tc>
            <w:tcPr>
              <w:tcW w:w="5148" w:type="dxa"/>
              <w:tcMar>
                <w:left w:w="115" w:type="dxa"/>
                <w:right w:w="115" w:type="dxa"/>
              </w:tcMar>
              <w:vAlign w:val="bottom"/>
            </w:tcPr>
            <w:p w:rsidR="00B113E8" w:rsidRDefault="00D45237">
              <w:pPr>
                <w:pStyle w:val="NoSpacing"/>
                <w:spacing w:after="80"/>
              </w:pPr>
              <w:r>
                <w:rPr>
                  <w:noProof/>
                </w:rPr>
                <w:drawing>
                  <wp:inline distT="0" distB="0" distL="0" distR="0" wp14:anchorId="23D1EC2D" wp14:editId="475E3730">
                    <wp:extent cx="1863716" cy="309147"/>
                    <wp:effectExtent l="0" t="0" r="3810" b="0"/>
                    <wp:docPr id="16" name="log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863716" cy="3091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5148" w:type="dxa"/>
          <w:tcMar>
            <w:left w:w="115" w:type="dxa"/>
            <w:right w:w="115" w:type="dxa"/>
          </w:tcMar>
          <w:vAlign w:val="bottom"/>
        </w:tcPr>
        <w:p w:rsidR="00B113E8" w:rsidRDefault="00D036AA">
          <w:pPr>
            <w:pStyle w:val="ReportName"/>
          </w:pPr>
          <w:sdt>
            <w:sdtPr>
              <w:alias w:val="Report Title"/>
              <w:tag w:val="Report Title"/>
              <w:id w:val="1457518547"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EndPr/>
            <w:sdtContent>
              <w:r w:rsidR="0035043D">
                <w:t>UIUC Energy Report</w:t>
              </w:r>
            </w:sdtContent>
          </w:sdt>
          <w:r w:rsidR="00D45237">
            <w:t xml:space="preserve"> | </w:t>
          </w:r>
          <w:r w:rsidR="00D45237">
            <w:rPr>
              <w:rStyle w:val="PageNumber"/>
              <w:color w:val="F95F56" w:themeColor="accent1" w:themeTint="BF"/>
            </w:rPr>
            <w:fldChar w:fldCharType="begin"/>
          </w:r>
          <w:r w:rsidR="00D45237">
            <w:rPr>
              <w:rStyle w:val="PageNumber"/>
              <w:color w:val="F95F56" w:themeColor="accent1" w:themeTint="BF"/>
            </w:rPr>
            <w:instrText xml:space="preserve"> PAGE  \* Arabic  \* MERGEFORMAT </w:instrText>
          </w:r>
          <w:r w:rsidR="00D45237">
            <w:rPr>
              <w:rStyle w:val="PageNumber"/>
              <w:color w:val="F95F56" w:themeColor="accent1" w:themeTint="BF"/>
            </w:rPr>
            <w:fldChar w:fldCharType="separate"/>
          </w:r>
          <w:r>
            <w:rPr>
              <w:rStyle w:val="PageNumber"/>
              <w:noProof/>
              <w:color w:val="F95F56" w:themeColor="accent1" w:themeTint="BF"/>
            </w:rPr>
            <w:t>3</w:t>
          </w:r>
          <w:r w:rsidR="00D45237">
            <w:rPr>
              <w:rStyle w:val="PageNumber"/>
              <w:color w:val="F95F56" w:themeColor="accent1" w:themeTint="BF"/>
            </w:rPr>
            <w:fldChar w:fldCharType="end"/>
          </w:r>
        </w:p>
      </w:tc>
    </w:tr>
  </w:tbl>
  <w:p w:rsidR="00B113E8" w:rsidRDefault="00B113E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C0DE878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7D04B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D320ADC"/>
    <w:multiLevelType w:val="hybridMultilevel"/>
    <w:tmpl w:val="E6A60516"/>
    <w:lvl w:ilvl="0" w:tplc="7BBEA1BC">
      <w:start w:val="1"/>
      <w:numFmt w:val="bullet"/>
      <w:pStyle w:val="ListBulletNegative"/>
      <w:lvlText w:val=""/>
      <w:lvlJc w:val="left"/>
      <w:pPr>
        <w:ind w:left="576" w:hanging="432"/>
      </w:pPr>
      <w:rPr>
        <w:rFonts w:ascii="Wingdings 3" w:hAnsi="Wingdings 3" w:hint="default"/>
        <w:color w:val="7F7F7F" w:themeColor="text1" w:themeTint="80"/>
        <w:position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369CB"/>
    <w:multiLevelType w:val="hybridMultilevel"/>
    <w:tmpl w:val="6FC07668"/>
    <w:lvl w:ilvl="0" w:tplc="F4A86E0A">
      <w:start w:val="1"/>
      <w:numFmt w:val="bullet"/>
      <w:pStyle w:val="ListBullet"/>
      <w:lvlText w:val=""/>
      <w:lvlJc w:val="left"/>
      <w:pPr>
        <w:ind w:left="576" w:hanging="432"/>
      </w:pPr>
      <w:rPr>
        <w:rFonts w:ascii="Wingdings 3" w:hAnsi="Wingdings 3" w:hint="default"/>
        <w:color w:val="F72B1E" w:themeColor="accent1"/>
        <w:position w:val="-4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92621E"/>
    <w:multiLevelType w:val="hybridMultilevel"/>
    <w:tmpl w:val="D7961F0E"/>
    <w:lvl w:ilvl="0" w:tplc="28D4CCA2">
      <w:numFmt w:val="bullet"/>
      <w:lvlText w:val="-"/>
      <w:lvlJc w:val="left"/>
      <w:pPr>
        <w:ind w:left="720" w:hanging="360"/>
      </w:pPr>
      <w:rPr>
        <w:rFonts w:ascii="Mistral" w:eastAsiaTheme="minorHAnsi" w:hAnsi="Mistra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52B"/>
    <w:rsid w:val="000567F9"/>
    <w:rsid w:val="000723CA"/>
    <w:rsid w:val="00097D91"/>
    <w:rsid w:val="00157635"/>
    <w:rsid w:val="001903BA"/>
    <w:rsid w:val="00191318"/>
    <w:rsid w:val="001D3ACC"/>
    <w:rsid w:val="001D6378"/>
    <w:rsid w:val="002650F6"/>
    <w:rsid w:val="00300C86"/>
    <w:rsid w:val="0035043D"/>
    <w:rsid w:val="00404784"/>
    <w:rsid w:val="005078BC"/>
    <w:rsid w:val="005D02EE"/>
    <w:rsid w:val="005D1F0A"/>
    <w:rsid w:val="00656AD9"/>
    <w:rsid w:val="006D54A6"/>
    <w:rsid w:val="006E334B"/>
    <w:rsid w:val="007470C0"/>
    <w:rsid w:val="00784F84"/>
    <w:rsid w:val="007A5E2B"/>
    <w:rsid w:val="007B663F"/>
    <w:rsid w:val="007F552B"/>
    <w:rsid w:val="00840FC8"/>
    <w:rsid w:val="00942C41"/>
    <w:rsid w:val="009A612E"/>
    <w:rsid w:val="009B7548"/>
    <w:rsid w:val="009D716A"/>
    <w:rsid w:val="00A1679C"/>
    <w:rsid w:val="00A36C2D"/>
    <w:rsid w:val="00A95F29"/>
    <w:rsid w:val="00B113E8"/>
    <w:rsid w:val="00B22570"/>
    <w:rsid w:val="00B525DE"/>
    <w:rsid w:val="00B80453"/>
    <w:rsid w:val="00BB62AE"/>
    <w:rsid w:val="00BB6A05"/>
    <w:rsid w:val="00C3404F"/>
    <w:rsid w:val="00C8642A"/>
    <w:rsid w:val="00CA24D1"/>
    <w:rsid w:val="00CC2663"/>
    <w:rsid w:val="00D036AA"/>
    <w:rsid w:val="00D45237"/>
    <w:rsid w:val="00D6142B"/>
    <w:rsid w:val="00DA2D31"/>
    <w:rsid w:val="00DC61D0"/>
    <w:rsid w:val="00DC7B2C"/>
    <w:rsid w:val="00DD6595"/>
    <w:rsid w:val="00E10254"/>
    <w:rsid w:val="00E7787C"/>
    <w:rsid w:val="00EB43FA"/>
    <w:rsid w:val="00ED37C2"/>
    <w:rsid w:val="00F9124F"/>
    <w:rsid w:val="00F93AF3"/>
    <w:rsid w:val="00FB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A9B7AFC"/>
  <w15:docId w15:val="{B16FFA0B-A566-4389-9CB8-3E7AB7435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60" w:after="160"/>
    </w:pPr>
  </w:style>
  <w:style w:type="paragraph" w:styleId="Heading1">
    <w:name w:val="heading 1"/>
    <w:basedOn w:val="Normal"/>
    <w:next w:val="Normal"/>
    <w:link w:val="Heading1Char"/>
    <w:uiPriority w:val="9"/>
    <w:qFormat/>
    <w:pPr>
      <w:spacing w:after="0" w:line="240" w:lineRule="auto"/>
      <w:outlineLvl w:val="0"/>
    </w:pPr>
    <w:rPr>
      <w:rFonts w:asciiTheme="majorHAnsi" w:hAnsiTheme="majorHAnsi"/>
      <w:color w:val="F72B1E" w:themeColor="accent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pBdr>
        <w:top w:val="dashSmallGap" w:sz="4" w:space="4" w:color="BFBFBF" w:themeColor="background1" w:themeShade="BF"/>
        <w:bottom w:val="dashSmallGap" w:sz="4" w:space="4" w:color="BFBFBF" w:themeColor="background1" w:themeShade="BF"/>
      </w:pBdr>
      <w:spacing w:before="0" w:after="0" w:line="240" w:lineRule="auto"/>
      <w:outlineLvl w:val="1"/>
    </w:pPr>
    <w:rPr>
      <w:rFonts w:asciiTheme="majorHAnsi" w:hAnsiTheme="majorHAnsi"/>
      <w:color w:val="F72B1E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spacing w:after="0" w:line="240" w:lineRule="auto"/>
      <w:outlineLvl w:val="2"/>
    </w:pPr>
    <w:rPr>
      <w:rFonts w:asciiTheme="majorHAnsi" w:hAnsiTheme="majorHAns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spacing w:before="120" w:after="120" w:line="240" w:lineRule="auto"/>
      <w:ind w:left="288"/>
      <w:outlineLvl w:val="3"/>
    </w:pPr>
    <w:rPr>
      <w:rFonts w:asciiTheme="majorHAnsi" w:hAnsiTheme="majorHAnsi"/>
      <w:caps/>
      <w:color w:val="FFFFFF" w:themeColor="background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spacing w:before="60" w:after="60" w:line="240" w:lineRule="auto"/>
      <w:outlineLvl w:val="4"/>
    </w:pPr>
    <w:rPr>
      <w:rFonts w:asciiTheme="majorHAnsi" w:hAnsiTheme="majorHAnsi"/>
      <w:caps/>
      <w:color w:val="F72B1E" w:themeColor="accen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spacing w:after="0" w:line="240" w:lineRule="auto"/>
      <w:ind w:left="360"/>
      <w:outlineLvl w:val="5"/>
    </w:pPr>
    <w:rPr>
      <w:caps/>
      <w:color w:val="F72B1E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 w:themeColor="text1"/>
      <w:sz w:val="16"/>
      <w:szCs w:val="16"/>
    </w:rPr>
  </w:style>
  <w:style w:type="paragraph" w:customStyle="1" w:styleId="Normal-SpaceAfter">
    <w:name w:val="Normal - Space After"/>
    <w:basedOn w:val="Normal"/>
    <w:qFormat/>
    <w:pPr>
      <w:spacing w:after="1200"/>
    </w:pPr>
    <w:rPr>
      <w:noProof/>
    </w:rPr>
  </w:style>
  <w:style w:type="paragraph" w:customStyle="1" w:styleId="CoverLogo">
    <w:name w:val="Cover Logo"/>
    <w:basedOn w:val="Normal"/>
    <w:qFormat/>
    <w:pPr>
      <w:pBdr>
        <w:bottom w:val="dashSmallGap" w:sz="4" w:space="15" w:color="BFBFBF" w:themeColor="background1" w:themeShade="BF"/>
      </w:pBdr>
      <w:spacing w:before="2000" w:after="1000" w:line="240" w:lineRule="auto"/>
      <w:ind w:left="864" w:right="864"/>
      <w:jc w:val="center"/>
    </w:pPr>
  </w:style>
  <w:style w:type="paragraph" w:styleId="Title">
    <w:name w:val="Title"/>
    <w:basedOn w:val="Normal"/>
    <w:next w:val="Normal"/>
    <w:link w:val="TitleChar"/>
    <w:qFormat/>
    <w:pPr>
      <w:spacing w:before="1000" w:after="0" w:line="240" w:lineRule="auto"/>
      <w:jc w:val="center"/>
    </w:pPr>
    <w:rPr>
      <w:rFonts w:asciiTheme="majorHAnsi" w:hAnsiTheme="majorHAnsi"/>
      <w:color w:val="F72B1E" w:themeColor="accent1"/>
      <w:sz w:val="48"/>
      <w:szCs w:val="48"/>
    </w:rPr>
  </w:style>
  <w:style w:type="character" w:customStyle="1" w:styleId="TitleChar">
    <w:name w:val="Title Char"/>
    <w:basedOn w:val="DefaultParagraphFont"/>
    <w:link w:val="Title"/>
    <w:rPr>
      <w:rFonts w:asciiTheme="majorHAnsi" w:hAnsiTheme="majorHAnsi"/>
      <w:color w:val="F72B1E" w:themeColor="accent1"/>
      <w:sz w:val="48"/>
      <w:szCs w:val="48"/>
    </w:rPr>
  </w:style>
  <w:style w:type="paragraph" w:styleId="Subtitle">
    <w:name w:val="Subtitle"/>
    <w:basedOn w:val="Normal"/>
    <w:next w:val="Normal"/>
    <w:link w:val="SubtitleChar"/>
    <w:qFormat/>
    <w:pPr>
      <w:pBdr>
        <w:bottom w:val="dashSmallGap" w:sz="4" w:space="31" w:color="BFBFBF" w:themeColor="background1" w:themeShade="BF"/>
      </w:pBdr>
      <w:spacing w:after="360" w:line="240" w:lineRule="auto"/>
      <w:ind w:left="864" w:right="864"/>
      <w:jc w:val="center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rPr>
      <w:sz w:val="24"/>
      <w:szCs w:val="24"/>
    </w:rPr>
  </w:style>
  <w:style w:type="paragraph" w:customStyle="1" w:styleId="CompanyInfo">
    <w:name w:val="Company Info"/>
    <w:basedOn w:val="Normal"/>
    <w:qFormat/>
    <w:pPr>
      <w:spacing w:before="300" w:after="0" w:line="360" w:lineRule="auto"/>
      <w:contextualSpacing/>
      <w:jc w:val="center"/>
    </w:pPr>
    <w:rPr>
      <w:color w:val="7F7F7F" w:themeColor="text1" w:themeTint="80"/>
      <w:szCs w:val="18"/>
      <w14:numForm w14:val="lining"/>
    </w:rPr>
  </w:style>
  <w:style w:type="character" w:styleId="Strong">
    <w:name w:val="Strong"/>
    <w:basedOn w:val="DefaultParagraphFont"/>
    <w:uiPriority w:val="1"/>
    <w:qFormat/>
    <w:rPr>
      <w:b/>
      <w:bCs/>
      <w:color w:val="595959" w:themeColor="text1" w:themeTint="A6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color w:val="595959" w:themeColor="text1" w:themeTint="A6"/>
      <w:sz w:val="18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60" w:line="240" w:lineRule="auto"/>
    </w:pPr>
    <w:rPr>
      <w:i/>
      <w:color w:val="A6A6A6" w:themeColor="background1" w:themeShade="A6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i/>
      <w:color w:val="A6A6A6" w:themeColor="background1" w:themeShade="A6"/>
      <w:sz w:val="16"/>
      <w:szCs w:val="16"/>
    </w:rPr>
  </w:style>
  <w:style w:type="character" w:styleId="PageNumber">
    <w:name w:val="page number"/>
    <w:basedOn w:val="DefaultParagraphFont"/>
    <w:uiPriority w:val="1"/>
    <w:qFormat/>
    <w:rPr>
      <w:rFonts w:asciiTheme="majorHAnsi" w:hAnsiTheme="majorHAnsi"/>
      <w:color w:val="F72B1E" w:themeColor="accent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color w:val="F72B1E" w:themeColor="accent1"/>
      <w:sz w:val="48"/>
      <w:szCs w:val="48"/>
    </w:rPr>
  </w:style>
  <w:style w:type="paragraph" w:styleId="NoSpacing">
    <w:name w:val="No Spacing"/>
    <w:uiPriority w:val="1"/>
    <w:qFormat/>
    <w:pPr>
      <w:spacing w:after="0" w:line="240" w:lineRule="auto"/>
    </w:pPr>
    <w:rPr>
      <w:color w:val="595959" w:themeColor="text1" w:themeTint="A6"/>
      <w:sz w:val="1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hAnsiTheme="majorHAnsi"/>
      <w:color w:val="F72B1E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hAnsiTheme="majorHAnsi"/>
      <w:caps/>
      <w:color w:val="F72B1E" w:themeColor="accent1"/>
    </w:rPr>
  </w:style>
  <w:style w:type="paragraph" w:customStyle="1" w:styleId="SidebarText">
    <w:name w:val="Sidebar Text"/>
    <w:basedOn w:val="Normal"/>
    <w:qFormat/>
    <w:pPr>
      <w:spacing w:before="40" w:after="120" w:line="240" w:lineRule="auto"/>
      <w:ind w:left="360"/>
    </w:pPr>
    <w:rPr>
      <w:color w:val="404040" w:themeColor="text1" w:themeTint="BF"/>
      <w:sz w:val="16"/>
      <w:szCs w:val="16"/>
    </w:rPr>
  </w:style>
  <w:style w:type="paragraph" w:styleId="ListBullet">
    <w:name w:val="List Bullet"/>
    <w:basedOn w:val="Normal"/>
    <w:qFormat/>
    <w:pPr>
      <w:numPr>
        <w:numId w:val="2"/>
      </w:numPr>
      <w:spacing w:before="100" w:after="0" w:line="240" w:lineRule="auto"/>
      <w:ind w:left="360" w:hanging="288"/>
    </w:pPr>
    <w:rPr>
      <w:caps/>
    </w:rPr>
  </w:style>
  <w:style w:type="paragraph" w:customStyle="1" w:styleId="ListBulletNegative">
    <w:name w:val="List Bullet Negative"/>
    <w:basedOn w:val="Normal"/>
    <w:qFormat/>
    <w:pPr>
      <w:numPr>
        <w:numId w:val="5"/>
      </w:numPr>
      <w:spacing w:before="100" w:after="0" w:line="240" w:lineRule="auto"/>
      <w:ind w:left="360" w:hanging="288"/>
    </w:pPr>
    <w:rPr>
      <w:caps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hAnsiTheme="majorHAnsi"/>
      <w:color w:val="595959" w:themeColor="text1" w:themeTint="A6"/>
      <w:sz w:val="24"/>
      <w:szCs w:val="24"/>
    </w:rPr>
  </w:style>
  <w:style w:type="paragraph" w:styleId="ListBullet2">
    <w:name w:val="List Bullet 2"/>
    <w:basedOn w:val="Normal"/>
    <w:uiPriority w:val="99"/>
    <w:semiHidden/>
    <w:pPr>
      <w:numPr>
        <w:numId w:val="4"/>
      </w:numPr>
      <w:spacing w:after="0" w:line="240" w:lineRule="auto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rPr>
      <w:caps/>
      <w:color w:val="F72B1E" w:themeColor="accent1"/>
    </w:rPr>
  </w:style>
  <w:style w:type="paragraph" w:customStyle="1" w:styleId="TableText">
    <w:name w:val="Table Text"/>
    <w:basedOn w:val="Normal"/>
    <w:qFormat/>
    <w:pPr>
      <w:spacing w:before="40" w:after="40" w:line="240" w:lineRule="auto"/>
    </w:pPr>
    <w:rPr>
      <w:color w:val="7F7F7F" w:themeColor="text1" w:themeTint="80"/>
      <w:sz w:val="16"/>
      <w:szCs w:val="16"/>
    </w:rPr>
  </w:style>
  <w:style w:type="paragraph" w:customStyle="1" w:styleId="TableRowHeading">
    <w:name w:val="Table Row Heading"/>
    <w:basedOn w:val="Normal"/>
    <w:qFormat/>
    <w:pPr>
      <w:spacing w:before="40" w:after="40" w:line="240" w:lineRule="auto"/>
    </w:pPr>
    <w:rPr>
      <w:rFonts w:asciiTheme="majorHAnsi" w:hAnsiTheme="majorHAnsi"/>
      <w:caps/>
      <w:color w:val="7F7F7F" w:themeColor="text1" w:themeTint="80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C00000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qFormat/>
    <w:pPr>
      <w:pBdr>
        <w:bottom w:val="single" w:sz="4" w:space="1" w:color="BFBFBF" w:themeColor="background1" w:themeShade="BF"/>
      </w:pBdr>
      <w:tabs>
        <w:tab w:val="right" w:pos="9778"/>
      </w:tabs>
      <w:spacing w:before="400" w:after="0" w:line="240" w:lineRule="auto"/>
      <w:ind w:right="288"/>
    </w:pPr>
    <w:rPr>
      <w:rFonts w:asciiTheme="majorHAnsi" w:hAnsiTheme="majorHAnsi"/>
      <w:color w:val="F72B1E" w:themeColor="accent1"/>
      <w:sz w:val="24"/>
    </w:rPr>
  </w:style>
  <w:style w:type="paragraph" w:styleId="TOC2">
    <w:name w:val="toc 2"/>
    <w:basedOn w:val="Normal"/>
    <w:next w:val="Normal"/>
    <w:autoRedefine/>
    <w:uiPriority w:val="39"/>
    <w:unhideWhenUsed/>
    <w:qFormat/>
    <w:pPr>
      <w:tabs>
        <w:tab w:val="right" w:pos="9778"/>
      </w:tabs>
      <w:spacing w:before="200" w:after="0" w:line="240" w:lineRule="auto"/>
      <w:ind w:left="187" w:right="288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pPr>
      <w:tabs>
        <w:tab w:val="right" w:pos="9778"/>
      </w:tabs>
      <w:spacing w:before="120" w:after="0" w:line="240" w:lineRule="auto"/>
      <w:ind w:left="360" w:right="288"/>
    </w:pPr>
  </w:style>
  <w:style w:type="paragraph" w:customStyle="1" w:styleId="ReportName">
    <w:name w:val="Report Name"/>
    <w:basedOn w:val="Normal"/>
    <w:qFormat/>
    <w:pPr>
      <w:spacing w:before="0" w:after="40" w:line="240" w:lineRule="auto"/>
      <w:jc w:val="right"/>
    </w:pPr>
    <w:rPr>
      <w:rFonts w:asciiTheme="majorHAnsi" w:hAnsiTheme="majorHAnsi"/>
      <w:color w:val="404040" w:themeColor="text1" w:themeTint="BF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OCHeading">
    <w:name w:val="TOC Heading"/>
    <w:basedOn w:val="Normal"/>
    <w:next w:val="Normal"/>
    <w:uiPriority w:val="39"/>
    <w:qFormat/>
    <w:pPr>
      <w:pBdr>
        <w:top w:val="dashSmallGap" w:sz="4" w:space="4" w:color="BFBFBF" w:themeColor="background1" w:themeShade="BF"/>
        <w:bottom w:val="dashSmallGap" w:sz="4" w:space="4" w:color="BFBFBF" w:themeColor="background1" w:themeShade="BF"/>
      </w:pBdr>
      <w:spacing w:before="80" w:after="80" w:line="240" w:lineRule="auto"/>
    </w:pPr>
    <w:rPr>
      <w:rFonts w:asciiTheme="majorHAnsi" w:hAnsiTheme="majorHAnsi"/>
      <w:caps/>
      <w:color w:val="F72B1E" w:themeColor="accen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hAnsiTheme="majorHAnsi"/>
      <w:caps/>
      <w:color w:val="FFFFFF" w:themeColor="background1"/>
      <w:sz w:val="24"/>
      <w:szCs w:val="24"/>
    </w:rPr>
  </w:style>
  <w:style w:type="paragraph" w:customStyle="1" w:styleId="TableText-Center">
    <w:name w:val="Table Text - Center"/>
    <w:basedOn w:val="TableText"/>
    <w:qFormat/>
    <w:pPr>
      <w:jc w:val="center"/>
    </w:pPr>
  </w:style>
  <w:style w:type="table" w:customStyle="1" w:styleId="WB2">
    <w:name w:val="WB2"/>
    <w:basedOn w:val="TableNormal"/>
    <w:uiPriority w:val="99"/>
    <w:pPr>
      <w:spacing w:after="0" w:line="240" w:lineRule="auto"/>
    </w:pPr>
    <w:tblPr>
      <w:tblStyleRowBandSize w:val="1"/>
      <w:tblBorders>
        <w:top w:val="single" w:sz="4" w:space="0" w:color="BFBFBF" w:themeColor="background1" w:themeShade="BF"/>
        <w:insideH w:val="single" w:sz="4" w:space="0" w:color="BFBFBF" w:themeColor="background1" w:themeShade="BF"/>
      </w:tblBorders>
    </w:tblPr>
    <w:tblStylePr w:type="lastRow">
      <w:tblPr/>
      <w:tcPr>
        <w:tcBorders>
          <w:bottom w:val="nil"/>
        </w:tcBorders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WB1">
    <w:name w:val="WB1"/>
    <w:basedOn w:val="TableNormal"/>
    <w:uiPriority w:val="99"/>
    <w:pPr>
      <w:spacing w:after="0" w:line="240" w:lineRule="auto"/>
    </w:pPr>
    <w:tblPr>
      <w:tblBorders>
        <w:top w:val="single" w:sz="4" w:space="0" w:color="BFBFBF" w:themeColor="background1" w:themeShade="BF"/>
        <w:insideH w:val="single" w:sz="4" w:space="0" w:color="BFBFBF" w:themeColor="background1" w:themeShade="BF"/>
      </w:tblBorders>
      <w:tblCellMar>
        <w:left w:w="0" w:type="dxa"/>
        <w:right w:w="0" w:type="dxa"/>
      </w:tblCellMar>
    </w:tblPr>
    <w:tcPr>
      <w:vAlign w:val="center"/>
    </w:tcPr>
  </w:style>
  <w:style w:type="paragraph" w:customStyle="1" w:styleId="Notice">
    <w:name w:val="Notice"/>
    <w:basedOn w:val="Normal"/>
    <w:qFormat/>
    <w:pPr>
      <w:spacing w:before="360"/>
    </w:pPr>
    <w:rPr>
      <w:i/>
      <w:color w:val="808080" w:themeColor="background1" w:themeShade="8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2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image" Target="media/image1.gi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marqui\AppData\Roaming\Microsoft\Templates\Business%20report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Energy Utilization</a:t>
            </a:r>
            <a:r>
              <a:rPr lang="en-US" baseline="0"/>
              <a:t> Index by Unit - 2017 - 2020</a:t>
            </a:r>
          </a:p>
        </c:rich>
      </c:tx>
      <c:layout/>
      <c:overlay val="1"/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data!$C$2</c:f>
              <c:strCache>
                <c:ptCount val="1"/>
                <c:pt idx="0">
                  <c:v>2012</c:v>
                </c:pt>
              </c:strCache>
            </c:strRef>
          </c:tx>
          <c:invertIfNegative val="0"/>
          <c:cat>
            <c:strRef>
              <c:f>data!$B$3:$B$33</c:f>
              <c:strCache>
                <c:ptCount val="28"/>
                <c:pt idx="0">
                  <c:v>VC Research Institiutes</c:v>
                </c:pt>
                <c:pt idx="1">
                  <c:v>Medicine</c:v>
                </c:pt>
                <c:pt idx="2">
                  <c:v>LAS</c:v>
                </c:pt>
                <c:pt idx="3">
                  <c:v>VetMed</c:v>
                </c:pt>
                <c:pt idx="4">
                  <c:v>CIO</c:v>
                </c:pt>
                <c:pt idx="5">
                  <c:v>Engineering</c:v>
                </c:pt>
                <c:pt idx="6">
                  <c:v>Education</c:v>
                </c:pt>
                <c:pt idx="7">
                  <c:v>Media</c:v>
                </c:pt>
                <c:pt idx="8">
                  <c:v>Labor and Employment Relations</c:v>
                </c:pt>
                <c:pt idx="9">
                  <c:v>ACES</c:v>
                </c:pt>
                <c:pt idx="10">
                  <c:v>Information Sciences</c:v>
                </c:pt>
                <c:pt idx="11">
                  <c:v>Law</c:v>
                </c:pt>
                <c:pt idx="12">
                  <c:v>Illinois International</c:v>
                </c:pt>
                <c:pt idx="13">
                  <c:v>FAA</c:v>
                </c:pt>
                <c:pt idx="14">
                  <c:v>Libraries</c:v>
                </c:pt>
                <c:pt idx="15">
                  <c:v>Institute of Aviation</c:v>
                </c:pt>
                <c:pt idx="16">
                  <c:v>Applied Health Sci</c:v>
                </c:pt>
                <c:pt idx="17">
                  <c:v>Housing, Campus Rec and IU</c:v>
                </c:pt>
                <c:pt idx="18">
                  <c:v>Business</c:v>
                </c:pt>
                <c:pt idx="19">
                  <c:v>Athletics</c:v>
                </c:pt>
                <c:pt idx="20">
                  <c:v>VC for Student Affairs</c:v>
                </c:pt>
                <c:pt idx="21">
                  <c:v>Graduate College</c:v>
                </c:pt>
                <c:pt idx="22">
                  <c:v>Social Work</c:v>
                </c:pt>
                <c:pt idx="23">
                  <c:v>Public Safety</c:v>
                </c:pt>
                <c:pt idx="24">
                  <c:v>General Studies</c:v>
                </c:pt>
                <c:pt idx="25">
                  <c:v>Provost Ac Programs</c:v>
                </c:pt>
                <c:pt idx="26">
                  <c:v>Armed Forces</c:v>
                </c:pt>
                <c:pt idx="27">
                  <c:v>Nursing</c:v>
                </c:pt>
              </c:strCache>
            </c:strRef>
          </c:cat>
          <c:val>
            <c:numRef>
              <c:f>data!$C$3:$C$33</c:f>
            </c:numRef>
          </c:val>
          <c:extLst>
            <c:ext xmlns:c16="http://schemas.microsoft.com/office/drawing/2014/chart" uri="{C3380CC4-5D6E-409C-BE32-E72D297353CC}">
              <c16:uniqueId val="{00000000-6DF9-4865-918F-DC18AECA1224}"/>
            </c:ext>
          </c:extLst>
        </c:ser>
        <c:ser>
          <c:idx val="2"/>
          <c:order val="1"/>
          <c:tx>
            <c:strRef>
              <c:f>data!$H$2</c:f>
              <c:strCache>
                <c:ptCount val="1"/>
                <c:pt idx="0">
                  <c:v>2017</c:v>
                </c:pt>
              </c:strCache>
            </c:strRef>
          </c:tx>
          <c:invertIfNegative val="0"/>
          <c:cat>
            <c:strRef>
              <c:f>data!$B$3:$B$33</c:f>
              <c:strCache>
                <c:ptCount val="28"/>
                <c:pt idx="0">
                  <c:v>VC Research Institiutes</c:v>
                </c:pt>
                <c:pt idx="1">
                  <c:v>Medicine</c:v>
                </c:pt>
                <c:pt idx="2">
                  <c:v>LAS</c:v>
                </c:pt>
                <c:pt idx="3">
                  <c:v>VetMed</c:v>
                </c:pt>
                <c:pt idx="4">
                  <c:v>CIO</c:v>
                </c:pt>
                <c:pt idx="5">
                  <c:v>Engineering</c:v>
                </c:pt>
                <c:pt idx="6">
                  <c:v>Education</c:v>
                </c:pt>
                <c:pt idx="7">
                  <c:v>Media</c:v>
                </c:pt>
                <c:pt idx="8">
                  <c:v>Labor and Employment Relations</c:v>
                </c:pt>
                <c:pt idx="9">
                  <c:v>ACES</c:v>
                </c:pt>
                <c:pt idx="10">
                  <c:v>Information Sciences</c:v>
                </c:pt>
                <c:pt idx="11">
                  <c:v>Law</c:v>
                </c:pt>
                <c:pt idx="12">
                  <c:v>Illinois International</c:v>
                </c:pt>
                <c:pt idx="13">
                  <c:v>FAA</c:v>
                </c:pt>
                <c:pt idx="14">
                  <c:v>Libraries</c:v>
                </c:pt>
                <c:pt idx="15">
                  <c:v>Institute of Aviation</c:v>
                </c:pt>
                <c:pt idx="16">
                  <c:v>Applied Health Sci</c:v>
                </c:pt>
                <c:pt idx="17">
                  <c:v>Housing, Campus Rec and IU</c:v>
                </c:pt>
                <c:pt idx="18">
                  <c:v>Business</c:v>
                </c:pt>
                <c:pt idx="19">
                  <c:v>Athletics</c:v>
                </c:pt>
                <c:pt idx="20">
                  <c:v>VC for Student Affairs</c:v>
                </c:pt>
                <c:pt idx="21">
                  <c:v>Graduate College</c:v>
                </c:pt>
                <c:pt idx="22">
                  <c:v>Social Work</c:v>
                </c:pt>
                <c:pt idx="23">
                  <c:v>Public Safety</c:v>
                </c:pt>
                <c:pt idx="24">
                  <c:v>General Studies</c:v>
                </c:pt>
                <c:pt idx="25">
                  <c:v>Provost Ac Programs</c:v>
                </c:pt>
                <c:pt idx="26">
                  <c:v>Armed Forces</c:v>
                </c:pt>
                <c:pt idx="27">
                  <c:v>Nursing</c:v>
                </c:pt>
              </c:strCache>
            </c:strRef>
          </c:cat>
          <c:val>
            <c:numRef>
              <c:f>data!$H$3:$H$33</c:f>
              <c:numCache>
                <c:formatCode>_(* #,##0_);_(* \(#,##0\);_(* "-"??_);_(@_)</c:formatCode>
                <c:ptCount val="28"/>
                <c:pt idx="0">
                  <c:v>584431</c:v>
                </c:pt>
                <c:pt idx="1">
                  <c:v>325495</c:v>
                </c:pt>
                <c:pt idx="2">
                  <c:v>242659</c:v>
                </c:pt>
                <c:pt idx="3">
                  <c:v>248146</c:v>
                </c:pt>
                <c:pt idx="4">
                  <c:v>231319</c:v>
                </c:pt>
                <c:pt idx="5">
                  <c:v>211180</c:v>
                </c:pt>
                <c:pt idx="6">
                  <c:v>162910</c:v>
                </c:pt>
                <c:pt idx="7">
                  <c:v>184003</c:v>
                </c:pt>
                <c:pt idx="8">
                  <c:v>147817</c:v>
                </c:pt>
                <c:pt idx="9">
                  <c:v>142095</c:v>
                </c:pt>
                <c:pt idx="10">
                  <c:v>153873</c:v>
                </c:pt>
                <c:pt idx="11">
                  <c:v>130292</c:v>
                </c:pt>
                <c:pt idx="12">
                  <c:v>118627</c:v>
                </c:pt>
                <c:pt idx="13">
                  <c:v>143858</c:v>
                </c:pt>
                <c:pt idx="14">
                  <c:v>141372</c:v>
                </c:pt>
                <c:pt idx="15">
                  <c:v>125922</c:v>
                </c:pt>
                <c:pt idx="16">
                  <c:v>100615</c:v>
                </c:pt>
                <c:pt idx="17">
                  <c:v>92304</c:v>
                </c:pt>
                <c:pt idx="18">
                  <c:v>92231</c:v>
                </c:pt>
                <c:pt idx="19">
                  <c:v>87576</c:v>
                </c:pt>
                <c:pt idx="20">
                  <c:v>83672</c:v>
                </c:pt>
                <c:pt idx="21">
                  <c:v>71951</c:v>
                </c:pt>
                <c:pt idx="22">
                  <c:v>67937</c:v>
                </c:pt>
                <c:pt idx="23">
                  <c:v>59555</c:v>
                </c:pt>
                <c:pt idx="24">
                  <c:v>68935</c:v>
                </c:pt>
                <c:pt idx="25">
                  <c:v>42626</c:v>
                </c:pt>
                <c:pt idx="26">
                  <c:v>52627</c:v>
                </c:pt>
                <c:pt idx="27">
                  <c:v>23249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DF9-4865-918F-DC18AECA1224}"/>
            </c:ext>
          </c:extLst>
        </c:ser>
        <c:ser>
          <c:idx val="0"/>
          <c:order val="2"/>
          <c:tx>
            <c:strRef>
              <c:f>data!$I$2</c:f>
              <c:strCache>
                <c:ptCount val="1"/>
                <c:pt idx="0">
                  <c:v>2018</c:v>
                </c:pt>
              </c:strCache>
            </c:strRef>
          </c:tx>
          <c:invertIfNegative val="0"/>
          <c:cat>
            <c:strRef>
              <c:f>data!$B$3:$B$33</c:f>
              <c:strCache>
                <c:ptCount val="28"/>
                <c:pt idx="0">
                  <c:v>VC Research Institiutes</c:v>
                </c:pt>
                <c:pt idx="1">
                  <c:v>Medicine</c:v>
                </c:pt>
                <c:pt idx="2">
                  <c:v>LAS</c:v>
                </c:pt>
                <c:pt idx="3">
                  <c:v>VetMed</c:v>
                </c:pt>
                <c:pt idx="4">
                  <c:v>CIO</c:v>
                </c:pt>
                <c:pt idx="5">
                  <c:v>Engineering</c:v>
                </c:pt>
                <c:pt idx="6">
                  <c:v>Education</c:v>
                </c:pt>
                <c:pt idx="7">
                  <c:v>Media</c:v>
                </c:pt>
                <c:pt idx="8">
                  <c:v>Labor and Employment Relations</c:v>
                </c:pt>
                <c:pt idx="9">
                  <c:v>ACES</c:v>
                </c:pt>
                <c:pt idx="10">
                  <c:v>Information Sciences</c:v>
                </c:pt>
                <c:pt idx="11">
                  <c:v>Law</c:v>
                </c:pt>
                <c:pt idx="12">
                  <c:v>Illinois International</c:v>
                </c:pt>
                <c:pt idx="13">
                  <c:v>FAA</c:v>
                </c:pt>
                <c:pt idx="14">
                  <c:v>Libraries</c:v>
                </c:pt>
                <c:pt idx="15">
                  <c:v>Institute of Aviation</c:v>
                </c:pt>
                <c:pt idx="16">
                  <c:v>Applied Health Sci</c:v>
                </c:pt>
                <c:pt idx="17">
                  <c:v>Housing, Campus Rec and IU</c:v>
                </c:pt>
                <c:pt idx="18">
                  <c:v>Business</c:v>
                </c:pt>
                <c:pt idx="19">
                  <c:v>Athletics</c:v>
                </c:pt>
                <c:pt idx="20">
                  <c:v>VC for Student Affairs</c:v>
                </c:pt>
                <c:pt idx="21">
                  <c:v>Graduate College</c:v>
                </c:pt>
                <c:pt idx="22">
                  <c:v>Social Work</c:v>
                </c:pt>
                <c:pt idx="23">
                  <c:v>Public Safety</c:v>
                </c:pt>
                <c:pt idx="24">
                  <c:v>General Studies</c:v>
                </c:pt>
                <c:pt idx="25">
                  <c:v>Provost Ac Programs</c:v>
                </c:pt>
                <c:pt idx="26">
                  <c:v>Armed Forces</c:v>
                </c:pt>
                <c:pt idx="27">
                  <c:v>Nursing</c:v>
                </c:pt>
              </c:strCache>
            </c:strRef>
          </c:cat>
          <c:val>
            <c:numRef>
              <c:f>data!$I$3:$I$33</c:f>
              <c:numCache>
                <c:formatCode>_(* #,##0_);_(* \(#,##0\);_(* "-"??_);_(@_)</c:formatCode>
                <c:ptCount val="28"/>
                <c:pt idx="0">
                  <c:v>571434</c:v>
                </c:pt>
                <c:pt idx="1">
                  <c:v>544970</c:v>
                </c:pt>
                <c:pt idx="2">
                  <c:v>257795</c:v>
                </c:pt>
                <c:pt idx="3">
                  <c:v>250029</c:v>
                </c:pt>
                <c:pt idx="4">
                  <c:v>230462</c:v>
                </c:pt>
                <c:pt idx="5">
                  <c:v>165990</c:v>
                </c:pt>
                <c:pt idx="6">
                  <c:v>158539</c:v>
                </c:pt>
                <c:pt idx="7">
                  <c:v>191022</c:v>
                </c:pt>
                <c:pt idx="8">
                  <c:v>183888</c:v>
                </c:pt>
                <c:pt idx="9">
                  <c:v>142260</c:v>
                </c:pt>
                <c:pt idx="10">
                  <c:v>143179</c:v>
                </c:pt>
                <c:pt idx="11">
                  <c:v>131035</c:v>
                </c:pt>
                <c:pt idx="12">
                  <c:v>118903</c:v>
                </c:pt>
                <c:pt idx="13">
                  <c:v>137013</c:v>
                </c:pt>
                <c:pt idx="14">
                  <c:v>133639</c:v>
                </c:pt>
                <c:pt idx="15">
                  <c:v>140621</c:v>
                </c:pt>
                <c:pt idx="16">
                  <c:v>94532</c:v>
                </c:pt>
                <c:pt idx="17">
                  <c:v>93208</c:v>
                </c:pt>
                <c:pt idx="18">
                  <c:v>107697</c:v>
                </c:pt>
                <c:pt idx="19">
                  <c:v>82678</c:v>
                </c:pt>
                <c:pt idx="20">
                  <c:v>106378</c:v>
                </c:pt>
                <c:pt idx="21">
                  <c:v>81356</c:v>
                </c:pt>
                <c:pt idx="22">
                  <c:v>37409</c:v>
                </c:pt>
                <c:pt idx="23">
                  <c:v>67542</c:v>
                </c:pt>
                <c:pt idx="24">
                  <c:v>63026</c:v>
                </c:pt>
                <c:pt idx="25">
                  <c:v>57443</c:v>
                </c:pt>
                <c:pt idx="26">
                  <c:v>63584</c:v>
                </c:pt>
                <c:pt idx="27">
                  <c:v>22881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DF9-4865-918F-DC18AECA1224}"/>
            </c:ext>
          </c:extLst>
        </c:ser>
        <c:ser>
          <c:idx val="3"/>
          <c:order val="3"/>
          <c:tx>
            <c:strRef>
              <c:f>data!$J$2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cat>
            <c:strRef>
              <c:f>data!$B$3:$B$33</c:f>
              <c:strCache>
                <c:ptCount val="28"/>
                <c:pt idx="0">
                  <c:v>VC Research Institiutes</c:v>
                </c:pt>
                <c:pt idx="1">
                  <c:v>Medicine</c:v>
                </c:pt>
                <c:pt idx="2">
                  <c:v>LAS</c:v>
                </c:pt>
                <c:pt idx="3">
                  <c:v>VetMed</c:v>
                </c:pt>
                <c:pt idx="4">
                  <c:v>CIO</c:v>
                </c:pt>
                <c:pt idx="5">
                  <c:v>Engineering</c:v>
                </c:pt>
                <c:pt idx="6">
                  <c:v>Education</c:v>
                </c:pt>
                <c:pt idx="7">
                  <c:v>Media</c:v>
                </c:pt>
                <c:pt idx="8">
                  <c:v>Labor and Employment Relations</c:v>
                </c:pt>
                <c:pt idx="9">
                  <c:v>ACES</c:v>
                </c:pt>
                <c:pt idx="10">
                  <c:v>Information Sciences</c:v>
                </c:pt>
                <c:pt idx="11">
                  <c:v>Law</c:v>
                </c:pt>
                <c:pt idx="12">
                  <c:v>Illinois International</c:v>
                </c:pt>
                <c:pt idx="13">
                  <c:v>FAA</c:v>
                </c:pt>
                <c:pt idx="14">
                  <c:v>Libraries</c:v>
                </c:pt>
                <c:pt idx="15">
                  <c:v>Institute of Aviation</c:v>
                </c:pt>
                <c:pt idx="16">
                  <c:v>Applied Health Sci</c:v>
                </c:pt>
                <c:pt idx="17">
                  <c:v>Housing, Campus Rec and IU</c:v>
                </c:pt>
                <c:pt idx="18">
                  <c:v>Business</c:v>
                </c:pt>
                <c:pt idx="19">
                  <c:v>Athletics</c:v>
                </c:pt>
                <c:pt idx="20">
                  <c:v>VC for Student Affairs</c:v>
                </c:pt>
                <c:pt idx="21">
                  <c:v>Graduate College</c:v>
                </c:pt>
                <c:pt idx="22">
                  <c:v>Social Work</c:v>
                </c:pt>
                <c:pt idx="23">
                  <c:v>Public Safety</c:v>
                </c:pt>
                <c:pt idx="24">
                  <c:v>General Studies</c:v>
                </c:pt>
                <c:pt idx="25">
                  <c:v>Provost Ac Programs</c:v>
                </c:pt>
                <c:pt idx="26">
                  <c:v>Armed Forces</c:v>
                </c:pt>
                <c:pt idx="27">
                  <c:v>Nursing</c:v>
                </c:pt>
              </c:strCache>
            </c:strRef>
          </c:cat>
          <c:val>
            <c:numRef>
              <c:f>data!$J$3:$J$33</c:f>
              <c:numCache>
                <c:formatCode>_(* #,##0_);_(* \(#,##0\);_(* "-"??_);_(@_)</c:formatCode>
                <c:ptCount val="28"/>
                <c:pt idx="0">
                  <c:v>565522</c:v>
                </c:pt>
                <c:pt idx="1">
                  <c:v>415768</c:v>
                </c:pt>
                <c:pt idx="2">
                  <c:v>265559</c:v>
                </c:pt>
                <c:pt idx="3">
                  <c:v>265268</c:v>
                </c:pt>
                <c:pt idx="4">
                  <c:v>234536</c:v>
                </c:pt>
                <c:pt idx="5">
                  <c:v>165796</c:v>
                </c:pt>
                <c:pt idx="6">
                  <c:v>163376</c:v>
                </c:pt>
                <c:pt idx="7">
                  <c:v>183509</c:v>
                </c:pt>
                <c:pt idx="8">
                  <c:v>154805</c:v>
                </c:pt>
                <c:pt idx="9">
                  <c:v>146867</c:v>
                </c:pt>
                <c:pt idx="10">
                  <c:v>141666</c:v>
                </c:pt>
                <c:pt idx="11">
                  <c:v>112919</c:v>
                </c:pt>
                <c:pt idx="12">
                  <c:v>102707</c:v>
                </c:pt>
                <c:pt idx="13">
                  <c:v>158183</c:v>
                </c:pt>
                <c:pt idx="14">
                  <c:v>131261</c:v>
                </c:pt>
                <c:pt idx="15">
                  <c:v>159966</c:v>
                </c:pt>
                <c:pt idx="16">
                  <c:v>92550</c:v>
                </c:pt>
                <c:pt idx="17">
                  <c:v>91667</c:v>
                </c:pt>
                <c:pt idx="18">
                  <c:v>114241</c:v>
                </c:pt>
                <c:pt idx="19">
                  <c:v>87796</c:v>
                </c:pt>
                <c:pt idx="20">
                  <c:v>113167</c:v>
                </c:pt>
                <c:pt idx="21">
                  <c:v>82851</c:v>
                </c:pt>
                <c:pt idx="22">
                  <c:v>33118</c:v>
                </c:pt>
                <c:pt idx="23">
                  <c:v>66133</c:v>
                </c:pt>
                <c:pt idx="24">
                  <c:v>70029</c:v>
                </c:pt>
                <c:pt idx="25">
                  <c:v>54941</c:v>
                </c:pt>
                <c:pt idx="26">
                  <c:v>69876</c:v>
                </c:pt>
                <c:pt idx="27">
                  <c:v>23509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DF9-4865-918F-DC18AECA1224}"/>
            </c:ext>
          </c:extLst>
        </c:ser>
        <c:ser>
          <c:idx val="4"/>
          <c:order val="4"/>
          <c:tx>
            <c:strRef>
              <c:f>data!$K$2</c:f>
              <c:strCache>
                <c:ptCount val="1"/>
                <c:pt idx="0">
                  <c:v>2020</c:v>
                </c:pt>
              </c:strCache>
            </c:strRef>
          </c:tx>
          <c:invertIfNegative val="0"/>
          <c:cat>
            <c:strRef>
              <c:f>data!$B$3:$B$33</c:f>
              <c:strCache>
                <c:ptCount val="28"/>
                <c:pt idx="0">
                  <c:v>VC Research Institiutes</c:v>
                </c:pt>
                <c:pt idx="1">
                  <c:v>Medicine</c:v>
                </c:pt>
                <c:pt idx="2">
                  <c:v>LAS</c:v>
                </c:pt>
                <c:pt idx="3">
                  <c:v>VetMed</c:v>
                </c:pt>
                <c:pt idx="4">
                  <c:v>CIO</c:v>
                </c:pt>
                <c:pt idx="5">
                  <c:v>Engineering</c:v>
                </c:pt>
                <c:pt idx="6">
                  <c:v>Education</c:v>
                </c:pt>
                <c:pt idx="7">
                  <c:v>Media</c:v>
                </c:pt>
                <c:pt idx="8">
                  <c:v>Labor and Employment Relations</c:v>
                </c:pt>
                <c:pt idx="9">
                  <c:v>ACES</c:v>
                </c:pt>
                <c:pt idx="10">
                  <c:v>Information Sciences</c:v>
                </c:pt>
                <c:pt idx="11">
                  <c:v>Law</c:v>
                </c:pt>
                <c:pt idx="12">
                  <c:v>Illinois International</c:v>
                </c:pt>
                <c:pt idx="13">
                  <c:v>FAA</c:v>
                </c:pt>
                <c:pt idx="14">
                  <c:v>Libraries</c:v>
                </c:pt>
                <c:pt idx="15">
                  <c:v>Institute of Aviation</c:v>
                </c:pt>
                <c:pt idx="16">
                  <c:v>Applied Health Sci</c:v>
                </c:pt>
                <c:pt idx="17">
                  <c:v>Housing, Campus Rec and IU</c:v>
                </c:pt>
                <c:pt idx="18">
                  <c:v>Business</c:v>
                </c:pt>
                <c:pt idx="19">
                  <c:v>Athletics</c:v>
                </c:pt>
                <c:pt idx="20">
                  <c:v>VC for Student Affairs</c:v>
                </c:pt>
                <c:pt idx="21">
                  <c:v>Graduate College</c:v>
                </c:pt>
                <c:pt idx="22">
                  <c:v>Social Work</c:v>
                </c:pt>
                <c:pt idx="23">
                  <c:v>Public Safety</c:v>
                </c:pt>
                <c:pt idx="24">
                  <c:v>General Studies</c:v>
                </c:pt>
                <c:pt idx="25">
                  <c:v>Provost Ac Programs</c:v>
                </c:pt>
                <c:pt idx="26">
                  <c:v>Armed Forces</c:v>
                </c:pt>
                <c:pt idx="27">
                  <c:v>Nursing</c:v>
                </c:pt>
              </c:strCache>
            </c:strRef>
          </c:cat>
          <c:val>
            <c:numRef>
              <c:f>data!$K$3:$K$33</c:f>
              <c:numCache>
                <c:formatCode>_(* #,##0_);_(* \(#,##0\);_(* "-"??_);_(@_)</c:formatCode>
                <c:ptCount val="28"/>
                <c:pt idx="0">
                  <c:v>488585</c:v>
                </c:pt>
                <c:pt idx="1">
                  <c:v>249290</c:v>
                </c:pt>
                <c:pt idx="2">
                  <c:v>242894</c:v>
                </c:pt>
                <c:pt idx="3">
                  <c:v>245876</c:v>
                </c:pt>
                <c:pt idx="4">
                  <c:v>246347</c:v>
                </c:pt>
                <c:pt idx="5">
                  <c:v>161484</c:v>
                </c:pt>
                <c:pt idx="6">
                  <c:v>132928</c:v>
                </c:pt>
                <c:pt idx="7">
                  <c:v>177603</c:v>
                </c:pt>
                <c:pt idx="8">
                  <c:v>151001</c:v>
                </c:pt>
                <c:pt idx="9">
                  <c:v>133628</c:v>
                </c:pt>
                <c:pt idx="10">
                  <c:v>128546</c:v>
                </c:pt>
                <c:pt idx="11">
                  <c:v>104315</c:v>
                </c:pt>
                <c:pt idx="12">
                  <c:v>96312</c:v>
                </c:pt>
                <c:pt idx="13">
                  <c:v>149763</c:v>
                </c:pt>
                <c:pt idx="14">
                  <c:v>125929</c:v>
                </c:pt>
                <c:pt idx="15">
                  <c:v>146014</c:v>
                </c:pt>
                <c:pt idx="16">
                  <c:v>100825</c:v>
                </c:pt>
                <c:pt idx="17">
                  <c:v>85117</c:v>
                </c:pt>
                <c:pt idx="18">
                  <c:v>111425</c:v>
                </c:pt>
                <c:pt idx="19">
                  <c:v>85483</c:v>
                </c:pt>
                <c:pt idx="20">
                  <c:v>108423</c:v>
                </c:pt>
                <c:pt idx="21">
                  <c:v>73669</c:v>
                </c:pt>
                <c:pt idx="22">
                  <c:v>31459</c:v>
                </c:pt>
                <c:pt idx="23">
                  <c:v>79439</c:v>
                </c:pt>
                <c:pt idx="24">
                  <c:v>58707</c:v>
                </c:pt>
                <c:pt idx="25">
                  <c:v>5967</c:v>
                </c:pt>
                <c:pt idx="26">
                  <c:v>66679</c:v>
                </c:pt>
                <c:pt idx="27">
                  <c:v>23444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DF9-4865-918F-DC18AECA12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2746368"/>
        <c:axId val="276796928"/>
      </c:barChart>
      <c:catAx>
        <c:axId val="272746368"/>
        <c:scaling>
          <c:orientation val="minMax"/>
        </c:scaling>
        <c:delete val="0"/>
        <c:axPos val="b"/>
        <c:title>
          <c:tx>
            <c:rich>
              <a:bodyPr rot="0"/>
              <a:lstStyle/>
              <a:p>
                <a:pPr>
                  <a:defRPr/>
                </a:pPr>
                <a:r>
                  <a:rPr lang="en-US"/>
                  <a:t>College ,</a:t>
                </a:r>
                <a:r>
                  <a:rPr lang="en-US" baseline="0"/>
                  <a:t> School or Institute</a:t>
                </a:r>
                <a:endParaRPr lang="en-US"/>
              </a:p>
            </c:rich>
          </c:tx>
          <c:layout/>
          <c:overlay val="0"/>
        </c:title>
        <c:numFmt formatCode="General" sourceLinked="0"/>
        <c:majorTickMark val="out"/>
        <c:minorTickMark val="none"/>
        <c:tickLblPos val="nextTo"/>
        <c:txPr>
          <a:bodyPr rot="-5400000"/>
          <a:lstStyle/>
          <a:p>
            <a:pPr>
              <a:defRPr/>
            </a:pPr>
            <a:endParaRPr lang="en-US"/>
          </a:p>
        </c:txPr>
        <c:crossAx val="276796928"/>
        <c:crosses val="autoZero"/>
        <c:auto val="1"/>
        <c:lblAlgn val="ctr"/>
        <c:lblOffset val="100"/>
        <c:noMultiLvlLbl val="0"/>
      </c:catAx>
      <c:valAx>
        <c:axId val="27679692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EUI</a:t>
                </a:r>
                <a:r>
                  <a:rPr lang="en-US" baseline="0"/>
                  <a:t> - BTUs per Gross Square Foot</a:t>
                </a:r>
                <a:endParaRPr lang="en-US"/>
              </a:p>
            </c:rich>
          </c:tx>
          <c:layout/>
          <c:overlay val="0"/>
        </c:title>
        <c:numFmt formatCode="_(* #,##0_);_(* \(#,##0\);_(* &quot;-&quot;??_);_(@_)" sourceLinked="1"/>
        <c:majorTickMark val="out"/>
        <c:minorTickMark val="none"/>
        <c:tickLblPos val="nextTo"/>
        <c:crossAx val="27274636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EUI</a:t>
            </a: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31388758223403895"/>
          <c:y val="0.44632649879161146"/>
          <c:w val="0.56264921430275761"/>
          <c:h val="0.3380079712258189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0070C0"/>
              </a:solidFill>
            </c:spPr>
            <c:extLst>
              <c:ext xmlns:c16="http://schemas.microsoft.com/office/drawing/2014/chart" uri="{C3380CC4-5D6E-409C-BE32-E72D297353CC}">
                <c16:uniqueId val="{00000001-9119-4307-8A3D-84160439BD93}"/>
              </c:ext>
            </c:extLst>
          </c:dPt>
          <c:dPt>
            <c:idx val="2"/>
            <c:invertIfNegative val="0"/>
            <c:bubble3D val="0"/>
            <c:spPr>
              <a:solidFill>
                <a:srgbClr val="FFFF00"/>
              </a:solidFill>
            </c:spPr>
            <c:extLst>
              <c:ext xmlns:c16="http://schemas.microsoft.com/office/drawing/2014/chart" uri="{C3380CC4-5D6E-409C-BE32-E72D297353CC}">
                <c16:uniqueId val="{00000003-9119-4307-8A3D-84160439BD93}"/>
              </c:ext>
            </c:extLst>
          </c:dPt>
          <c:cat>
            <c:strRef>
              <c:f>Sheet1!$A$2:$A$5</c:f>
              <c:strCache>
                <c:ptCount val="3"/>
                <c:pt idx="0">
                  <c:v>Campus BTU/SQFT AVG</c:v>
                </c:pt>
                <c:pt idx="2">
                  <c:v>College BTU/SQFT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179858</c:v>
                </c:pt>
                <c:pt idx="2">
                  <c:v>78843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119-4307-8A3D-84160439BD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5221632"/>
        <c:axId val="55223424"/>
      </c:barChart>
      <c:catAx>
        <c:axId val="55221632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crossAx val="55223424"/>
        <c:crosses val="autoZero"/>
        <c:auto val="1"/>
        <c:lblAlgn val="ctr"/>
        <c:lblOffset val="100"/>
        <c:noMultiLvlLbl val="0"/>
      </c:catAx>
      <c:valAx>
        <c:axId val="55223424"/>
        <c:scaling>
          <c:orientation val="minMax"/>
        </c:scaling>
        <c:delete val="0"/>
        <c:axPos val="b"/>
        <c:majorGridlines/>
        <c:numFmt formatCode="#,##0_);\(#,##0\)" sourceLinked="0"/>
        <c:majorTickMark val="none"/>
        <c:minorTickMark val="none"/>
        <c:tickLblPos val="nextTo"/>
        <c:crossAx val="5522163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Average BTUs per gsf - UIUC Campus Buildings</a:t>
            </a:r>
          </a:p>
        </c:rich>
      </c:tx>
      <c:layout/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btus per gsf</c:v>
                </c:pt>
              </c:strCache>
            </c:strRef>
          </c:tx>
          <c:invertIfNegative val="0"/>
          <c:dLbls>
            <c:numFmt formatCode="#,##0_);\(#,##0\)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Sheet1!$A$2:$A$7</c:f>
              <c:strCache>
                <c:ptCount val="6"/>
                <c:pt idx="0">
                  <c:v>Recreation/Athletic Center/Gym</c:v>
                </c:pt>
                <c:pt idx="1">
                  <c:v>Medical Office/Clinic</c:v>
                </c:pt>
                <c:pt idx="2">
                  <c:v>Laboratory</c:v>
                </c:pt>
                <c:pt idx="3">
                  <c:v>Classrooms/Educational/Library</c:v>
                </c:pt>
                <c:pt idx="4">
                  <c:v>Office</c:v>
                </c:pt>
                <c:pt idx="5">
                  <c:v>Dormitory/Ward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335759</c:v>
                </c:pt>
                <c:pt idx="1">
                  <c:v>293505</c:v>
                </c:pt>
                <c:pt idx="2">
                  <c:v>212883</c:v>
                </c:pt>
                <c:pt idx="3">
                  <c:v>174548</c:v>
                </c:pt>
                <c:pt idx="4">
                  <c:v>173283</c:v>
                </c:pt>
                <c:pt idx="5">
                  <c:v>95833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4C4-42AC-BAAE-A0DB33237A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5243904"/>
        <c:axId val="55245440"/>
      </c:barChart>
      <c:catAx>
        <c:axId val="55243904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crossAx val="55245440"/>
        <c:crosses val="autoZero"/>
        <c:auto val="1"/>
        <c:lblAlgn val="ctr"/>
        <c:lblOffset val="100"/>
        <c:noMultiLvlLbl val="0"/>
      </c:catAx>
      <c:valAx>
        <c:axId val="55245440"/>
        <c:scaling>
          <c:orientation val="minMax"/>
        </c:scaling>
        <c:delete val="0"/>
        <c:axPos val="t"/>
        <c:majorGridlines/>
        <c:numFmt formatCode="#,##0_);\(#,##0\)" sourceLinked="0"/>
        <c:majorTickMark val="out"/>
        <c:minorTickMark val="none"/>
        <c:tickLblPos val="nextTo"/>
        <c:txPr>
          <a:bodyPr/>
          <a:lstStyle/>
          <a:p>
            <a:pPr>
              <a:defRPr sz="800" baseline="0"/>
            </a:pPr>
            <a:endParaRPr lang="en-US"/>
          </a:p>
        </c:txPr>
        <c:crossAx val="5524390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Report">
      <a:dk1>
        <a:sysClr val="windowText" lastClr="000000"/>
      </a:dk1>
      <a:lt1>
        <a:sysClr val="window" lastClr="FFFFFF"/>
      </a:lt1>
      <a:dk2>
        <a:srgbClr val="8B7C5F"/>
      </a:dk2>
      <a:lt2>
        <a:srgbClr val="E5D9B7"/>
      </a:lt2>
      <a:accent1>
        <a:srgbClr val="F72B1E"/>
      </a:accent1>
      <a:accent2>
        <a:srgbClr val="FF7B0F"/>
      </a:accent2>
      <a:accent3>
        <a:srgbClr val="7097D3"/>
      </a:accent3>
      <a:accent4>
        <a:srgbClr val="595959"/>
      </a:accent4>
      <a:accent5>
        <a:srgbClr val="8B4166"/>
      </a:accent5>
      <a:accent6>
        <a:srgbClr val="86AA22"/>
      </a:accent6>
      <a:hlink>
        <a:srgbClr val="C00000"/>
      </a:hlink>
      <a:folHlink>
        <a:srgbClr val="FDAF3D"/>
      </a:folHlink>
    </a:clrScheme>
    <a:fontScheme name="Report">
      <a:majorFont>
        <a:latin typeface="Trebuchet MS"/>
        <a:ea typeface=""/>
        <a:cs typeface=""/>
      </a:majorFont>
      <a:minorFont>
        <a:latin typeface="Corbel"/>
        <a:ea typeface=""/>
        <a:cs typeface=""/>
      </a:minorFont>
    </a:fontScheme>
    <a:fmtScheme name="Modul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7500"/>
                <a:satMod val="137000"/>
              </a:schemeClr>
            </a:gs>
            <a:gs pos="55000">
              <a:schemeClr val="phClr">
                <a:shade val="69000"/>
                <a:satMod val="137000"/>
              </a:schemeClr>
            </a:gs>
            <a:gs pos="100000">
              <a:schemeClr val="phClr">
                <a:shade val="98000"/>
                <a:satMod val="137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48000" cap="flat" cmpd="thickThin" algn="ctr">
          <a:solidFill>
            <a:schemeClr val="phClr"/>
          </a:solidFill>
          <a:prstDash val="solid"/>
        </a:ln>
        <a:ln w="48500" cap="flat" cmpd="thickThin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5000" dist="25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9000" dist="254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9000" dist="25400" dir="5400000" rotWithShape="0">
              <a:srgbClr val="000000">
                <a:alpha val="38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1800000"/>
            </a:lightRig>
          </a:scene3d>
          <a:sp3d prstMaterial="matte">
            <a:bevelT h="200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31297-332F-4F46-92B9-CDD1590696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88F41A-AC11-4130-B403-93DF3773A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report.dotx</Template>
  <TotalTime>6</TotalTime>
  <Pages>3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Facilities and Services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Marquissee</dc:creator>
  <dc:description>UIUC Energy Report</dc:description>
  <cp:lastModifiedBy>Ewing, Anthony James</cp:lastModifiedBy>
  <cp:revision>4</cp:revision>
  <cp:lastPrinted>2014-08-29T18:03:00Z</cp:lastPrinted>
  <dcterms:created xsi:type="dcterms:W3CDTF">2020-08-10T21:08:00Z</dcterms:created>
  <dcterms:modified xsi:type="dcterms:W3CDTF">2020-08-10T21:19:00Z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TC026803929991</vt:lpwstr>
  </property>
</Properties>
</file>