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8B82" w14:textId="2BB1DEB2" w:rsidR="00523B31" w:rsidRPr="00EB718B" w:rsidRDefault="000603F7" w:rsidP="00A24DD2">
      <w:pPr>
        <w:pStyle w:val="NoSpacing"/>
        <w:rPr>
          <w:b/>
          <w:bCs/>
          <w:sz w:val="28"/>
          <w:szCs w:val="28"/>
        </w:rPr>
      </w:pPr>
      <w:r w:rsidRPr="00EB718B">
        <w:rPr>
          <w:b/>
          <w:bCs/>
          <w:sz w:val="28"/>
          <w:szCs w:val="28"/>
        </w:rPr>
        <w:t>Legal Concerns</w:t>
      </w:r>
    </w:p>
    <w:p w14:paraId="4EC88DDA" w14:textId="63C287AE" w:rsidR="000603F7" w:rsidRPr="000603F7" w:rsidRDefault="00EB718B" w:rsidP="000603F7">
      <w:pPr>
        <w:ind w:left="0"/>
        <w:rPr>
          <w:rFonts w:asciiTheme="minorHAnsi" w:eastAsiaTheme="minorHAnsi" w:hAnsiTheme="minorHAnsi" w:cstheme="minorHAnsi"/>
          <w:szCs w:val="24"/>
        </w:rPr>
      </w:pPr>
      <w:r>
        <w:rPr>
          <w:rFonts w:asciiTheme="minorHAnsi" w:eastAsiaTheme="minorHAnsi" w:hAnsiTheme="minorHAnsi" w:cstheme="minorHAnsi"/>
          <w:szCs w:val="24"/>
        </w:rPr>
        <w:t>“</w:t>
      </w:r>
      <w:r w:rsidR="000603F7" w:rsidRPr="000603F7">
        <w:rPr>
          <w:rFonts w:asciiTheme="minorHAnsi" w:eastAsiaTheme="minorHAnsi" w:hAnsiTheme="minorHAnsi" w:cstheme="minorHAnsi"/>
          <w:szCs w:val="24"/>
        </w:rPr>
        <w:t xml:space="preserve">Maintaining the delineation between the University and PEI, specifically, the University </w:t>
      </w:r>
      <w:r w:rsidR="000603F7" w:rsidRPr="000603F7">
        <w:rPr>
          <w:rFonts w:asciiTheme="minorHAnsi" w:eastAsiaTheme="minorHAnsi" w:hAnsiTheme="minorHAnsi" w:cstheme="minorHAnsi"/>
          <w:szCs w:val="24"/>
        </w:rPr>
        <w:t>is the world-class institution that conducts research and PEI is the ancillary subsidiary corporation that provides cost-effective energy services to the University.</w:t>
      </w:r>
      <w:r w:rsidR="000603F7" w:rsidRPr="000603F7">
        <w:rPr>
          <w:rFonts w:asciiTheme="minorHAnsi" w:eastAsiaTheme="minorHAnsi" w:hAnsiTheme="minorHAnsi" w:cstheme="minorHAnsi"/>
          <w:szCs w:val="24"/>
        </w:rPr>
        <w:t xml:space="preserve">  </w:t>
      </w:r>
      <w:r w:rsidR="000603F7" w:rsidRPr="000603F7">
        <w:rPr>
          <w:rFonts w:asciiTheme="minorHAnsi" w:eastAsiaTheme="minorHAnsi" w:hAnsiTheme="minorHAnsi" w:cstheme="minorHAnsi"/>
          <w:szCs w:val="24"/>
        </w:rPr>
        <w:t>My fear is that this idea blurs the line a bit too much, in that the University does research, not PEI. PEI is a for-profit, S corp., that is exempted from numerous laws/rules (including procurement) that the University is subject to because PEI is intended to provide cost-effective energy services to the University, and in order to provide those cost-effective services, it needs to be a market player, which is why it needs to be a for-profit S corp., that is exempted from numerous laws/rules that apply to state entities. So if/when PEI stops providing services that are primarily cost-effective and gets into the research realm, then I get the sense that it essentially starts acting as the University and the walls between the entities start crumbling, and then the question becomes, why does this separate, for-profit entity that’s exempt from laws/rules exist?</w:t>
      </w:r>
      <w:r>
        <w:rPr>
          <w:rFonts w:asciiTheme="minorHAnsi" w:eastAsiaTheme="minorHAnsi" w:hAnsiTheme="minorHAnsi" w:cstheme="minorHAnsi"/>
          <w:szCs w:val="24"/>
        </w:rPr>
        <w:t>”</w:t>
      </w:r>
      <w:r w:rsidR="000603F7" w:rsidRPr="000603F7">
        <w:rPr>
          <w:rFonts w:asciiTheme="minorHAnsi" w:eastAsiaTheme="minorHAnsi" w:hAnsiTheme="minorHAnsi" w:cstheme="minorHAnsi"/>
          <w:szCs w:val="24"/>
        </w:rPr>
        <w:t xml:space="preserve"> </w:t>
      </w:r>
    </w:p>
    <w:p w14:paraId="12EBB2D7" w14:textId="77777777" w:rsidR="000603F7" w:rsidRDefault="000603F7" w:rsidP="000603F7">
      <w:pPr>
        <w:pStyle w:val="ListParagraph"/>
        <w:rPr>
          <w:rFonts w:asciiTheme="minorHAnsi" w:eastAsiaTheme="minorHAnsi" w:hAnsiTheme="minorHAnsi" w:cstheme="minorHAnsi"/>
          <w:szCs w:val="24"/>
        </w:rPr>
      </w:pPr>
    </w:p>
    <w:p w14:paraId="515F0055" w14:textId="38C1626C" w:rsidR="000603F7" w:rsidRPr="00EB718B" w:rsidRDefault="000603F7" w:rsidP="000603F7">
      <w:pPr>
        <w:pStyle w:val="ListParagraph"/>
        <w:ind w:left="0"/>
        <w:rPr>
          <w:rFonts w:asciiTheme="minorHAnsi" w:eastAsiaTheme="minorHAnsi" w:hAnsiTheme="minorHAnsi" w:cstheme="minorHAnsi"/>
          <w:b/>
          <w:bCs/>
          <w:sz w:val="28"/>
          <w:szCs w:val="28"/>
        </w:rPr>
      </w:pPr>
      <w:r w:rsidRPr="00EB718B">
        <w:rPr>
          <w:rFonts w:asciiTheme="minorHAnsi" w:eastAsiaTheme="minorHAnsi" w:hAnsiTheme="minorHAnsi" w:cstheme="minorHAnsi"/>
          <w:b/>
          <w:bCs/>
          <w:sz w:val="28"/>
          <w:szCs w:val="28"/>
        </w:rPr>
        <w:t>UIUC Response</w:t>
      </w:r>
    </w:p>
    <w:p w14:paraId="6DE9AE63" w14:textId="20164782" w:rsidR="000603F7" w:rsidRDefault="00EB718B" w:rsidP="000603F7">
      <w:pPr>
        <w:pStyle w:val="ListParagraph"/>
        <w:ind w:left="0"/>
        <w:rPr>
          <w:rFonts w:asciiTheme="minorHAnsi" w:eastAsiaTheme="minorHAnsi" w:hAnsiTheme="minorHAnsi" w:cstheme="minorHAnsi"/>
          <w:szCs w:val="24"/>
        </w:rPr>
      </w:pPr>
      <w:r w:rsidRPr="00EB718B">
        <w:rPr>
          <w:rFonts w:asciiTheme="minorHAnsi" w:eastAsiaTheme="minorHAnsi" w:hAnsiTheme="minorHAnsi" w:cstheme="minorHAnsi"/>
          <w:b/>
          <w:bCs/>
          <w:szCs w:val="24"/>
          <w:u w:val="single"/>
        </w:rPr>
        <w:t>PEI is not responsible for any research</w:t>
      </w:r>
      <w:r>
        <w:rPr>
          <w:rFonts w:asciiTheme="minorHAnsi" w:eastAsiaTheme="minorHAnsi" w:hAnsiTheme="minorHAnsi" w:cstheme="minorHAnsi"/>
          <w:szCs w:val="24"/>
        </w:rPr>
        <w:t xml:space="preserve"> - </w:t>
      </w:r>
      <w:r w:rsidR="000603F7">
        <w:rPr>
          <w:rFonts w:asciiTheme="minorHAnsi" w:eastAsiaTheme="minorHAnsi" w:hAnsiTheme="minorHAnsi" w:cstheme="minorHAnsi"/>
          <w:szCs w:val="24"/>
        </w:rPr>
        <w:t xml:space="preserve">In the proposed power purchase agreement related to the Agri-voltaics research project the University will conduct all of the research and PEI will not have any research responsibilities.  PEI would only contract for the purchase of the energy generated by the </w:t>
      </w:r>
      <w:r w:rsidR="008A1AA8">
        <w:rPr>
          <w:rFonts w:asciiTheme="minorHAnsi" w:eastAsiaTheme="minorHAnsi" w:hAnsiTheme="minorHAnsi" w:cstheme="minorHAnsi"/>
          <w:szCs w:val="24"/>
        </w:rPr>
        <w:t>new solar array</w:t>
      </w:r>
      <w:r w:rsidR="000603F7">
        <w:rPr>
          <w:rFonts w:asciiTheme="minorHAnsi" w:eastAsiaTheme="minorHAnsi" w:hAnsiTheme="minorHAnsi" w:cstheme="minorHAnsi"/>
          <w:szCs w:val="24"/>
        </w:rPr>
        <w:t xml:space="preserve"> and a potential buyout of the system which would be no different than the Solar Farm 2.0 agreement.  The </w:t>
      </w:r>
      <w:r w:rsidR="008A1AA8">
        <w:rPr>
          <w:rFonts w:asciiTheme="minorHAnsi" w:eastAsiaTheme="minorHAnsi" w:hAnsiTheme="minorHAnsi" w:cstheme="minorHAnsi"/>
          <w:szCs w:val="24"/>
        </w:rPr>
        <w:t xml:space="preserve">research purpose of the property and any attachments (solar array) including access to the property for research </w:t>
      </w:r>
      <w:r w:rsidR="000603F7">
        <w:rPr>
          <w:rFonts w:asciiTheme="minorHAnsi" w:eastAsiaTheme="minorHAnsi" w:hAnsiTheme="minorHAnsi" w:cstheme="minorHAnsi"/>
          <w:szCs w:val="24"/>
        </w:rPr>
        <w:t xml:space="preserve">could be </w:t>
      </w:r>
      <w:r w:rsidR="00DB0100">
        <w:rPr>
          <w:rFonts w:asciiTheme="minorHAnsi" w:eastAsiaTheme="minorHAnsi" w:hAnsiTheme="minorHAnsi" w:cstheme="minorHAnsi"/>
          <w:szCs w:val="24"/>
        </w:rPr>
        <w:t>terms</w:t>
      </w:r>
      <w:r w:rsidR="000603F7">
        <w:rPr>
          <w:rFonts w:asciiTheme="minorHAnsi" w:eastAsiaTheme="minorHAnsi" w:hAnsiTheme="minorHAnsi" w:cstheme="minorHAnsi"/>
          <w:szCs w:val="24"/>
        </w:rPr>
        <w:t xml:space="preserve"> in the Land Lease between</w:t>
      </w:r>
      <w:r w:rsidR="00831D58">
        <w:rPr>
          <w:rFonts w:asciiTheme="minorHAnsi" w:eastAsiaTheme="minorHAnsi" w:hAnsiTheme="minorHAnsi" w:cstheme="minorHAnsi"/>
          <w:szCs w:val="24"/>
        </w:rPr>
        <w:t xml:space="preserve"> the University and the developer which would help make it clear that PEI is not engaging in research activities.</w:t>
      </w:r>
    </w:p>
    <w:p w14:paraId="4382A73E" w14:textId="0656C0AE" w:rsidR="00831D58" w:rsidRDefault="00831D58" w:rsidP="000603F7">
      <w:pPr>
        <w:pStyle w:val="ListParagraph"/>
        <w:ind w:left="0"/>
        <w:rPr>
          <w:rFonts w:asciiTheme="minorHAnsi" w:eastAsiaTheme="minorHAnsi" w:hAnsiTheme="minorHAnsi" w:cstheme="minorHAnsi"/>
          <w:szCs w:val="24"/>
        </w:rPr>
      </w:pPr>
    </w:p>
    <w:p w14:paraId="492A8DCE" w14:textId="1239DE66" w:rsidR="00831D58" w:rsidRDefault="00EB718B" w:rsidP="000603F7">
      <w:pPr>
        <w:pStyle w:val="ListParagraph"/>
        <w:ind w:left="0"/>
        <w:rPr>
          <w:rFonts w:asciiTheme="minorHAnsi" w:eastAsiaTheme="minorHAnsi" w:hAnsiTheme="minorHAnsi" w:cstheme="minorHAnsi"/>
          <w:szCs w:val="24"/>
        </w:rPr>
      </w:pPr>
      <w:r w:rsidRPr="00EB718B">
        <w:rPr>
          <w:rFonts w:asciiTheme="minorHAnsi" w:eastAsiaTheme="minorHAnsi" w:hAnsiTheme="minorHAnsi" w:cstheme="minorHAnsi"/>
          <w:b/>
          <w:bCs/>
          <w:szCs w:val="24"/>
          <w:u w:val="single"/>
        </w:rPr>
        <w:t>PPA will be cost-effective</w:t>
      </w:r>
      <w:r>
        <w:rPr>
          <w:rFonts w:asciiTheme="minorHAnsi" w:eastAsiaTheme="minorHAnsi" w:hAnsiTheme="minorHAnsi" w:cstheme="minorHAnsi"/>
          <w:szCs w:val="24"/>
        </w:rPr>
        <w:t xml:space="preserve"> - </w:t>
      </w:r>
      <w:r w:rsidR="009C1BEC">
        <w:rPr>
          <w:rFonts w:asciiTheme="minorHAnsi" w:eastAsiaTheme="minorHAnsi" w:hAnsiTheme="minorHAnsi" w:cstheme="minorHAnsi"/>
          <w:szCs w:val="24"/>
        </w:rPr>
        <w:t>The project received a proposal for $</w:t>
      </w:r>
      <w:r>
        <w:rPr>
          <w:rFonts w:asciiTheme="minorHAnsi" w:eastAsiaTheme="minorHAnsi" w:hAnsiTheme="minorHAnsi" w:cstheme="minorHAnsi"/>
          <w:szCs w:val="24"/>
        </w:rPr>
        <w:t>5</w:t>
      </w:r>
      <w:r w:rsidR="00BA38B1">
        <w:rPr>
          <w:rFonts w:asciiTheme="minorHAnsi" w:eastAsiaTheme="minorHAnsi" w:hAnsiTheme="minorHAnsi" w:cstheme="minorHAnsi"/>
          <w:szCs w:val="24"/>
        </w:rPr>
        <w:t>26,292</w:t>
      </w:r>
      <w:r w:rsidR="009C1BEC">
        <w:rPr>
          <w:rFonts w:asciiTheme="minorHAnsi" w:eastAsiaTheme="minorHAnsi" w:hAnsiTheme="minorHAnsi" w:cstheme="minorHAnsi"/>
          <w:szCs w:val="24"/>
        </w:rPr>
        <w:t xml:space="preserve"> to build the array which did not include the investment tax credit</w:t>
      </w:r>
      <w:r w:rsidR="00C91228">
        <w:rPr>
          <w:rFonts w:asciiTheme="minorHAnsi" w:eastAsiaTheme="minorHAnsi" w:hAnsiTheme="minorHAnsi" w:cstheme="minorHAnsi"/>
          <w:szCs w:val="24"/>
        </w:rPr>
        <w:t xml:space="preserve"> (ITC)</w:t>
      </w:r>
      <w:r w:rsidR="009C1BEC">
        <w:rPr>
          <w:rFonts w:asciiTheme="minorHAnsi" w:eastAsiaTheme="minorHAnsi" w:hAnsiTheme="minorHAnsi" w:cstheme="minorHAnsi"/>
          <w:szCs w:val="24"/>
        </w:rPr>
        <w:t>.  Currently, it is not clear whether the University qualifies for the investment tax credit so the only way to take advantage of this credit is through a PPA.  Also, the USDA has provided a $325,000 grant to support the project.</w:t>
      </w:r>
      <w:r w:rsidR="00C91228">
        <w:rPr>
          <w:rFonts w:asciiTheme="minorHAnsi" w:eastAsiaTheme="minorHAnsi" w:hAnsiTheme="minorHAnsi" w:cstheme="minorHAnsi"/>
          <w:szCs w:val="24"/>
        </w:rPr>
        <w:t xml:space="preserve">  When considering the ITC (50% split) and the grant funding the PPA cost could result in savings of $</w:t>
      </w:r>
      <w:r w:rsidR="00BA38B1">
        <w:rPr>
          <w:rFonts w:asciiTheme="minorHAnsi" w:eastAsiaTheme="minorHAnsi" w:hAnsiTheme="minorHAnsi" w:cstheme="minorHAnsi"/>
          <w:szCs w:val="24"/>
        </w:rPr>
        <w:t>30,000</w:t>
      </w:r>
      <w:r w:rsidR="00C91228">
        <w:rPr>
          <w:rFonts w:asciiTheme="minorHAnsi" w:eastAsiaTheme="minorHAnsi" w:hAnsiTheme="minorHAnsi" w:cstheme="minorHAnsi"/>
          <w:szCs w:val="24"/>
        </w:rPr>
        <w:t xml:space="preserve"> compared to the market over the first 10 years.  This savings w</w:t>
      </w:r>
      <w:r w:rsidR="00B52B62">
        <w:rPr>
          <w:rFonts w:asciiTheme="minorHAnsi" w:eastAsiaTheme="minorHAnsi" w:hAnsiTheme="minorHAnsi" w:cstheme="minorHAnsi"/>
          <w:szCs w:val="24"/>
        </w:rPr>
        <w:t>ould allow this PPA to explicitly fit within PEI’s scope of authority.</w:t>
      </w:r>
      <w:r w:rsidR="00C91228">
        <w:rPr>
          <w:rFonts w:asciiTheme="minorHAnsi" w:eastAsiaTheme="minorHAnsi" w:hAnsiTheme="minorHAnsi" w:cstheme="minorHAnsi"/>
          <w:szCs w:val="24"/>
        </w:rPr>
        <w:t xml:space="preserve">  Purchasing as a capital project could add over $2</w:t>
      </w:r>
      <w:r w:rsidR="00BA38B1">
        <w:rPr>
          <w:rFonts w:asciiTheme="minorHAnsi" w:eastAsiaTheme="minorHAnsi" w:hAnsiTheme="minorHAnsi" w:cstheme="minorHAnsi"/>
          <w:szCs w:val="24"/>
        </w:rPr>
        <w:t>37</w:t>
      </w:r>
      <w:r w:rsidR="00C91228">
        <w:rPr>
          <w:rFonts w:asciiTheme="minorHAnsi" w:eastAsiaTheme="minorHAnsi" w:hAnsiTheme="minorHAnsi" w:cstheme="minorHAnsi"/>
          <w:szCs w:val="24"/>
        </w:rPr>
        <w:t>,000 in additional costs</w:t>
      </w:r>
      <w:r w:rsidR="00B52B62">
        <w:rPr>
          <w:rFonts w:asciiTheme="minorHAnsi" w:eastAsiaTheme="minorHAnsi" w:hAnsiTheme="minorHAnsi" w:cstheme="minorHAnsi"/>
          <w:szCs w:val="24"/>
        </w:rPr>
        <w:t xml:space="preserve"> to the University which could be avoided</w:t>
      </w:r>
      <w:r w:rsidR="00C91228">
        <w:rPr>
          <w:rFonts w:asciiTheme="minorHAnsi" w:eastAsiaTheme="minorHAnsi" w:hAnsiTheme="minorHAnsi" w:cstheme="minorHAnsi"/>
          <w:szCs w:val="24"/>
        </w:rPr>
        <w:t>.  See calculations below:</w:t>
      </w:r>
    </w:p>
    <w:p w14:paraId="1DA196F7" w14:textId="77777777" w:rsidR="00C91228" w:rsidRDefault="00C91228" w:rsidP="000603F7">
      <w:pPr>
        <w:pStyle w:val="ListParagraph"/>
        <w:ind w:left="0"/>
        <w:rPr>
          <w:rFonts w:asciiTheme="minorHAnsi" w:eastAsiaTheme="minorHAnsi" w:hAnsiTheme="minorHAnsi" w:cstheme="minorHAnsi"/>
          <w:szCs w:val="24"/>
        </w:rPr>
      </w:pPr>
    </w:p>
    <w:p w14:paraId="583E34AA" w14:textId="0945760D" w:rsidR="00C91228" w:rsidRDefault="00BA38B1" w:rsidP="00C91228">
      <w:pPr>
        <w:pStyle w:val="ListParagraph"/>
        <w:ind w:left="0"/>
        <w:rPr>
          <w:rFonts w:asciiTheme="minorHAnsi" w:eastAsiaTheme="minorHAnsi" w:hAnsiTheme="minorHAnsi" w:cstheme="minorHAnsi"/>
          <w:szCs w:val="24"/>
        </w:rPr>
      </w:pPr>
      <w:r w:rsidRPr="00BA38B1">
        <w:drawing>
          <wp:inline distT="0" distB="0" distL="0" distR="0" wp14:anchorId="216F2B31" wp14:editId="502DD4B1">
            <wp:extent cx="3175000" cy="12890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1289050"/>
                    </a:xfrm>
                    <a:prstGeom prst="rect">
                      <a:avLst/>
                    </a:prstGeom>
                    <a:noFill/>
                    <a:ln>
                      <a:noFill/>
                    </a:ln>
                  </pic:spPr>
                </pic:pic>
              </a:graphicData>
            </a:graphic>
          </wp:inline>
        </w:drawing>
      </w:r>
      <w:r w:rsidR="00C91228" w:rsidRPr="00C91228">
        <w:drawing>
          <wp:inline distT="0" distB="0" distL="0" distR="0" wp14:anchorId="3B95014B" wp14:editId="7184E837">
            <wp:extent cx="3175000" cy="12954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1295400"/>
                    </a:xfrm>
                    <a:prstGeom prst="rect">
                      <a:avLst/>
                    </a:prstGeom>
                    <a:noFill/>
                    <a:ln>
                      <a:noFill/>
                    </a:ln>
                  </pic:spPr>
                </pic:pic>
              </a:graphicData>
            </a:graphic>
          </wp:inline>
        </w:drawing>
      </w:r>
    </w:p>
    <w:p w14:paraId="29E1E7DC" w14:textId="73E0A1A0" w:rsidR="004D5CD9" w:rsidRDefault="004D5CD9" w:rsidP="007E2554">
      <w:pPr>
        <w:pStyle w:val="ListParagraph"/>
        <w:rPr>
          <w:rFonts w:asciiTheme="minorHAnsi" w:eastAsiaTheme="minorHAnsi" w:hAnsiTheme="minorHAnsi" w:cstheme="minorHAnsi"/>
          <w:szCs w:val="24"/>
        </w:rPr>
      </w:pPr>
    </w:p>
    <w:p w14:paraId="77192769" w14:textId="77777777" w:rsidR="00BC5503" w:rsidRPr="00A24DD2" w:rsidRDefault="00BC5503" w:rsidP="00A24DD2">
      <w:pPr>
        <w:pStyle w:val="NoSpacing"/>
        <w:rPr>
          <w:sz w:val="14"/>
          <w:szCs w:val="14"/>
        </w:rPr>
      </w:pPr>
    </w:p>
    <w:sectPr w:rsidR="00BC5503" w:rsidRPr="00A24DD2" w:rsidSect="00A04413">
      <w:headerReference w:type="default" r:id="rId9"/>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CD1C" w14:textId="77777777" w:rsidR="001506B6" w:rsidRDefault="001506B6" w:rsidP="0030724A">
      <w:pPr>
        <w:spacing w:line="240" w:lineRule="auto"/>
      </w:pPr>
      <w:r>
        <w:separator/>
      </w:r>
    </w:p>
  </w:endnote>
  <w:endnote w:type="continuationSeparator" w:id="0">
    <w:p w14:paraId="0FC03009" w14:textId="77777777" w:rsidR="001506B6" w:rsidRDefault="001506B6" w:rsidP="00307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9840" w14:textId="77777777" w:rsidR="001506B6" w:rsidRDefault="001506B6" w:rsidP="0030724A">
      <w:pPr>
        <w:spacing w:line="240" w:lineRule="auto"/>
      </w:pPr>
      <w:r>
        <w:separator/>
      </w:r>
    </w:p>
  </w:footnote>
  <w:footnote w:type="continuationSeparator" w:id="0">
    <w:p w14:paraId="0FC69E92" w14:textId="77777777" w:rsidR="001506B6" w:rsidRDefault="001506B6" w:rsidP="00307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025"/>
    </w:tblGrid>
    <w:tr w:rsidR="0030724A" w14:paraId="03ACE92A" w14:textId="77777777" w:rsidTr="006B5FEE">
      <w:tc>
        <w:tcPr>
          <w:tcW w:w="3145" w:type="dxa"/>
        </w:tcPr>
        <w:p w14:paraId="0207F0E7" w14:textId="4C9BC10C" w:rsidR="0030724A" w:rsidRDefault="0030724A" w:rsidP="0030724A">
          <w:pPr>
            <w:pStyle w:val="Header"/>
            <w:ind w:left="-110"/>
            <w:rPr>
              <w:rFonts w:ascii="Times New Roman" w:hAnsi="Times New Roman" w:cs="Times New Roman"/>
              <w:b/>
              <w:bCs/>
              <w:color w:val="002060"/>
              <w:sz w:val="28"/>
              <w:szCs w:val="28"/>
            </w:rPr>
          </w:pPr>
          <w:r>
            <w:rPr>
              <w:noProof/>
            </w:rPr>
            <w:drawing>
              <wp:inline distT="0" distB="0" distL="0" distR="0" wp14:anchorId="0E49B63D" wp14:editId="46307EB4">
                <wp:extent cx="1859280" cy="472440"/>
                <wp:effectExtent l="0" t="0" r="0" b="3810"/>
                <wp:docPr id="3" name="Picture 2">
                  <a:extLst xmlns:a="http://schemas.openxmlformats.org/drawingml/2006/main">
                    <a:ext uri="{FF2B5EF4-FFF2-40B4-BE49-F238E27FC236}">
                      <a16:creationId xmlns:a16="http://schemas.microsoft.com/office/drawing/2014/main" id="{69511052-A72A-43B5-8FE0-C6B27464411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511052-A72A-43B5-8FE0-C6B274644110}"/>
                            </a:ext>
                          </a:extLst>
                        </pic:cNvPr>
                        <pic:cNvPicPr/>
                      </pic:nvPicPr>
                      <pic:blipFill>
                        <a:blip r:embed="rId1">
                          <a:extLst>
                            <a:ext uri="{28A0092B-C50C-407E-A947-70E740481C1C}">
                              <a14:useLocalDpi xmlns:a14="http://schemas.microsoft.com/office/drawing/2010/main" val="0"/>
                            </a:ext>
                          </a:extLst>
                        </a:blip>
                        <a:srcRect t="13954" b="16278"/>
                        <a:stretch>
                          <a:fillRect/>
                        </a:stretch>
                      </pic:blipFill>
                      <pic:spPr bwMode="auto">
                        <a:xfrm>
                          <a:off x="0" y="0"/>
                          <a:ext cx="1859280" cy="472440"/>
                        </a:xfrm>
                        <a:prstGeom prst="rect">
                          <a:avLst/>
                        </a:prstGeom>
                        <a:noFill/>
                        <a:ln>
                          <a:noFill/>
                        </a:ln>
                      </pic:spPr>
                    </pic:pic>
                  </a:graphicData>
                </a:graphic>
              </wp:inline>
            </w:drawing>
          </w:r>
        </w:p>
      </w:tc>
      <w:tc>
        <w:tcPr>
          <w:tcW w:w="7025" w:type="dxa"/>
        </w:tcPr>
        <w:p w14:paraId="73F6C9A8" w14:textId="77777777" w:rsidR="0030724A" w:rsidRPr="00EB718B" w:rsidRDefault="0030724A" w:rsidP="0030724A">
          <w:pPr>
            <w:pStyle w:val="Header"/>
            <w:jc w:val="right"/>
            <w:rPr>
              <w:rFonts w:asciiTheme="minorHAnsi" w:hAnsiTheme="minorHAnsi" w:cstheme="minorHAnsi"/>
              <w:b/>
              <w:bCs/>
              <w:color w:val="1F3864" w:themeColor="accent1" w:themeShade="80"/>
              <w:sz w:val="28"/>
              <w:szCs w:val="28"/>
            </w:rPr>
          </w:pPr>
          <w:r w:rsidRPr="00EB718B">
            <w:rPr>
              <w:rFonts w:asciiTheme="minorHAnsi" w:hAnsiTheme="minorHAnsi" w:cstheme="minorHAnsi"/>
              <w:b/>
              <w:bCs/>
              <w:color w:val="1F3864" w:themeColor="accent1" w:themeShade="80"/>
              <w:sz w:val="28"/>
              <w:szCs w:val="28"/>
            </w:rPr>
            <w:t>Utilities &amp; Energy Services Division</w:t>
          </w:r>
        </w:p>
        <w:p w14:paraId="05B1739C" w14:textId="14EE1096" w:rsidR="0030724A" w:rsidRPr="00EB718B" w:rsidRDefault="000603F7" w:rsidP="0030724A">
          <w:pPr>
            <w:pStyle w:val="Header"/>
            <w:jc w:val="right"/>
            <w:rPr>
              <w:rFonts w:cstheme="minorHAnsi"/>
              <w:b/>
              <w:bCs/>
              <w:color w:val="1F3864" w:themeColor="accent1" w:themeShade="80"/>
              <w:sz w:val="28"/>
              <w:szCs w:val="28"/>
            </w:rPr>
          </w:pPr>
          <w:r w:rsidRPr="00EB718B">
            <w:rPr>
              <w:rFonts w:asciiTheme="minorHAnsi" w:hAnsiTheme="minorHAnsi" w:cstheme="minorHAnsi"/>
              <w:b/>
              <w:bCs/>
              <w:color w:val="1F3864" w:themeColor="accent1" w:themeShade="80"/>
              <w:sz w:val="28"/>
              <w:szCs w:val="28"/>
            </w:rPr>
            <w:t xml:space="preserve">Agri-voltaics PPA Discussion </w:t>
          </w:r>
          <w:r w:rsidR="00900A5B" w:rsidRPr="00EB718B">
            <w:rPr>
              <w:rFonts w:asciiTheme="minorHAnsi" w:hAnsiTheme="minorHAnsi" w:cstheme="minorHAnsi"/>
              <w:b/>
              <w:bCs/>
              <w:color w:val="1F3864" w:themeColor="accent1" w:themeShade="80"/>
              <w:sz w:val="28"/>
              <w:szCs w:val="28"/>
            </w:rPr>
            <w:t>10</w:t>
          </w:r>
          <w:r w:rsidR="00653187" w:rsidRPr="00EB718B">
            <w:rPr>
              <w:rFonts w:asciiTheme="minorHAnsi" w:hAnsiTheme="minorHAnsi" w:cstheme="minorHAnsi"/>
              <w:b/>
              <w:bCs/>
              <w:color w:val="1F3864" w:themeColor="accent1" w:themeShade="80"/>
              <w:sz w:val="28"/>
              <w:szCs w:val="28"/>
            </w:rPr>
            <w:t>/</w:t>
          </w:r>
          <w:r w:rsidRPr="00EB718B">
            <w:rPr>
              <w:rFonts w:asciiTheme="minorHAnsi" w:hAnsiTheme="minorHAnsi" w:cstheme="minorHAnsi"/>
              <w:b/>
              <w:bCs/>
              <w:color w:val="1F3864" w:themeColor="accent1" w:themeShade="80"/>
              <w:sz w:val="28"/>
              <w:szCs w:val="28"/>
            </w:rPr>
            <w:t>21</w:t>
          </w:r>
          <w:r w:rsidR="00C73DFE" w:rsidRPr="00EB718B">
            <w:rPr>
              <w:rFonts w:asciiTheme="minorHAnsi" w:hAnsiTheme="minorHAnsi" w:cstheme="minorHAnsi"/>
              <w:b/>
              <w:bCs/>
              <w:color w:val="1F3864" w:themeColor="accent1" w:themeShade="80"/>
              <w:sz w:val="28"/>
              <w:szCs w:val="28"/>
            </w:rPr>
            <w:t>/2</w:t>
          </w:r>
          <w:r w:rsidR="00201165" w:rsidRPr="00EB718B">
            <w:rPr>
              <w:rFonts w:asciiTheme="minorHAnsi" w:hAnsiTheme="minorHAnsi" w:cstheme="minorHAnsi"/>
              <w:b/>
              <w:bCs/>
              <w:color w:val="1F3864" w:themeColor="accent1" w:themeShade="80"/>
              <w:sz w:val="28"/>
              <w:szCs w:val="28"/>
            </w:rPr>
            <w:t>2</w:t>
          </w:r>
          <w:r w:rsidR="0030724A" w:rsidRPr="00EB718B">
            <w:rPr>
              <w:rFonts w:cstheme="minorHAnsi"/>
              <w:b/>
              <w:bCs/>
              <w:color w:val="1F3864" w:themeColor="accent1" w:themeShade="80"/>
              <w:sz w:val="28"/>
              <w:szCs w:val="28"/>
            </w:rPr>
            <w:t xml:space="preserve"> </w:t>
          </w:r>
        </w:p>
      </w:tc>
    </w:tr>
  </w:tbl>
  <w:p w14:paraId="02154AF5" w14:textId="77777777" w:rsidR="0030724A" w:rsidRDefault="00307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5531"/>
    <w:multiLevelType w:val="hybridMultilevel"/>
    <w:tmpl w:val="01D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66F39"/>
    <w:multiLevelType w:val="hybridMultilevel"/>
    <w:tmpl w:val="5AD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B53DB"/>
    <w:multiLevelType w:val="hybridMultilevel"/>
    <w:tmpl w:val="6070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F07C5"/>
    <w:multiLevelType w:val="hybridMultilevel"/>
    <w:tmpl w:val="6FDA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9325B"/>
    <w:multiLevelType w:val="hybridMultilevel"/>
    <w:tmpl w:val="7708D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37F4F"/>
    <w:multiLevelType w:val="hybridMultilevel"/>
    <w:tmpl w:val="B0A6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12E33"/>
    <w:multiLevelType w:val="hybridMultilevel"/>
    <w:tmpl w:val="1D66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03ACC"/>
    <w:multiLevelType w:val="hybridMultilevel"/>
    <w:tmpl w:val="FB626C20"/>
    <w:lvl w:ilvl="0" w:tplc="5E207A04">
      <w:start w:val="1"/>
      <w:numFmt w:val="bullet"/>
      <w:lvlText w:val=""/>
      <w:lvlJc w:val="left"/>
      <w:pPr>
        <w:ind w:left="720" w:hanging="360"/>
      </w:pPr>
      <w:rPr>
        <w:rFonts w:ascii="Symbol" w:hAnsi="Symbol" w:cs="Symbol" w:hint="default"/>
        <w:color w:val="auto"/>
      </w:rPr>
    </w:lvl>
    <w:lvl w:ilvl="1" w:tplc="681C9B7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7A044C2"/>
    <w:multiLevelType w:val="hybridMultilevel"/>
    <w:tmpl w:val="FDB0F932"/>
    <w:lvl w:ilvl="0" w:tplc="8E7002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06B5B"/>
    <w:multiLevelType w:val="hybridMultilevel"/>
    <w:tmpl w:val="B3AEBA0E"/>
    <w:lvl w:ilvl="0" w:tplc="AEBA85BC">
      <w:start w:val="1"/>
      <w:numFmt w:val="bullet"/>
      <w:lvlText w:val=""/>
      <w:lvlJc w:val="left"/>
      <w:pPr>
        <w:ind w:left="360" w:hanging="360"/>
      </w:pPr>
      <w:rPr>
        <w:rFonts w:ascii="Symbol" w:hAnsi="Symbol" w:hint="default"/>
      </w:rPr>
    </w:lvl>
    <w:lvl w:ilvl="1" w:tplc="09E0250C">
      <w:start w:val="1"/>
      <w:numFmt w:val="bullet"/>
      <w:lvlText w:val="o"/>
      <w:lvlJc w:val="left"/>
      <w:pPr>
        <w:ind w:left="1080" w:hanging="360"/>
      </w:pPr>
      <w:rPr>
        <w:rFonts w:ascii="Courier New" w:hAnsi="Courier New" w:hint="default"/>
      </w:rPr>
    </w:lvl>
    <w:lvl w:ilvl="2" w:tplc="B7F6CD1C">
      <w:start w:val="1"/>
      <w:numFmt w:val="bullet"/>
      <w:lvlText w:val=""/>
      <w:lvlJc w:val="left"/>
      <w:pPr>
        <w:ind w:left="1800" w:hanging="360"/>
      </w:pPr>
      <w:rPr>
        <w:rFonts w:ascii="Wingdings" w:hAnsi="Wingdings" w:hint="default"/>
      </w:rPr>
    </w:lvl>
    <w:lvl w:ilvl="3" w:tplc="4522B2C2">
      <w:start w:val="1"/>
      <w:numFmt w:val="bullet"/>
      <w:lvlText w:val=""/>
      <w:lvlJc w:val="left"/>
      <w:pPr>
        <w:ind w:left="2520" w:hanging="360"/>
      </w:pPr>
      <w:rPr>
        <w:rFonts w:ascii="Symbol" w:hAnsi="Symbol" w:hint="default"/>
      </w:rPr>
    </w:lvl>
    <w:lvl w:ilvl="4" w:tplc="612C71A4">
      <w:start w:val="1"/>
      <w:numFmt w:val="bullet"/>
      <w:lvlText w:val="o"/>
      <w:lvlJc w:val="left"/>
      <w:pPr>
        <w:ind w:left="3240" w:hanging="360"/>
      </w:pPr>
      <w:rPr>
        <w:rFonts w:ascii="Courier New" w:hAnsi="Courier New" w:hint="default"/>
      </w:rPr>
    </w:lvl>
    <w:lvl w:ilvl="5" w:tplc="35E4CE74">
      <w:start w:val="1"/>
      <w:numFmt w:val="bullet"/>
      <w:lvlText w:val=""/>
      <w:lvlJc w:val="left"/>
      <w:pPr>
        <w:ind w:left="3960" w:hanging="360"/>
      </w:pPr>
      <w:rPr>
        <w:rFonts w:ascii="Wingdings" w:hAnsi="Wingdings" w:hint="default"/>
      </w:rPr>
    </w:lvl>
    <w:lvl w:ilvl="6" w:tplc="F6E412AA">
      <w:start w:val="1"/>
      <w:numFmt w:val="bullet"/>
      <w:lvlText w:val=""/>
      <w:lvlJc w:val="left"/>
      <w:pPr>
        <w:ind w:left="4680" w:hanging="360"/>
      </w:pPr>
      <w:rPr>
        <w:rFonts w:ascii="Symbol" w:hAnsi="Symbol" w:hint="default"/>
      </w:rPr>
    </w:lvl>
    <w:lvl w:ilvl="7" w:tplc="84461868">
      <w:start w:val="1"/>
      <w:numFmt w:val="bullet"/>
      <w:lvlText w:val="o"/>
      <w:lvlJc w:val="left"/>
      <w:pPr>
        <w:ind w:left="5400" w:hanging="360"/>
      </w:pPr>
      <w:rPr>
        <w:rFonts w:ascii="Courier New" w:hAnsi="Courier New" w:hint="default"/>
      </w:rPr>
    </w:lvl>
    <w:lvl w:ilvl="8" w:tplc="94A03BA2">
      <w:start w:val="1"/>
      <w:numFmt w:val="bullet"/>
      <w:lvlText w:val=""/>
      <w:lvlJc w:val="left"/>
      <w:pPr>
        <w:ind w:left="6120" w:hanging="360"/>
      </w:pPr>
      <w:rPr>
        <w:rFonts w:ascii="Wingdings" w:hAnsi="Wingdings" w:hint="default"/>
      </w:rPr>
    </w:lvl>
  </w:abstractNum>
  <w:abstractNum w:abstractNumId="10" w15:restartNumberingAfterBreak="0">
    <w:nsid w:val="4BA30320"/>
    <w:multiLevelType w:val="hybridMultilevel"/>
    <w:tmpl w:val="F5AC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B7D67"/>
    <w:multiLevelType w:val="hybridMultilevel"/>
    <w:tmpl w:val="F37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15186"/>
    <w:multiLevelType w:val="hybridMultilevel"/>
    <w:tmpl w:val="7902B8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40582B"/>
    <w:multiLevelType w:val="hybridMultilevel"/>
    <w:tmpl w:val="6D967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C203C"/>
    <w:multiLevelType w:val="hybridMultilevel"/>
    <w:tmpl w:val="BD5E6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B25AFA"/>
    <w:multiLevelType w:val="hybridMultilevel"/>
    <w:tmpl w:val="C3B0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B7D61"/>
    <w:multiLevelType w:val="hybridMultilevel"/>
    <w:tmpl w:val="A9E2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D82175"/>
    <w:multiLevelType w:val="hybridMultilevel"/>
    <w:tmpl w:val="6AA47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77E3D"/>
    <w:multiLevelType w:val="hybridMultilevel"/>
    <w:tmpl w:val="DF86C672"/>
    <w:lvl w:ilvl="0" w:tplc="A202A4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E8776A"/>
    <w:multiLevelType w:val="hybridMultilevel"/>
    <w:tmpl w:val="CEE49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F5EAA"/>
    <w:multiLevelType w:val="hybridMultilevel"/>
    <w:tmpl w:val="B6BA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900539">
    <w:abstractNumId w:val="7"/>
  </w:num>
  <w:num w:numId="2" w16cid:durableId="495656546">
    <w:abstractNumId w:val="2"/>
  </w:num>
  <w:num w:numId="3" w16cid:durableId="61173518">
    <w:abstractNumId w:val="14"/>
  </w:num>
  <w:num w:numId="4" w16cid:durableId="679547666">
    <w:abstractNumId w:val="18"/>
  </w:num>
  <w:num w:numId="5" w16cid:durableId="1978563142">
    <w:abstractNumId w:val="12"/>
  </w:num>
  <w:num w:numId="6" w16cid:durableId="1016032163">
    <w:abstractNumId w:val="1"/>
  </w:num>
  <w:num w:numId="7" w16cid:durableId="520826814">
    <w:abstractNumId w:val="3"/>
  </w:num>
  <w:num w:numId="8" w16cid:durableId="1416317486">
    <w:abstractNumId w:val="13"/>
  </w:num>
  <w:num w:numId="9" w16cid:durableId="900864393">
    <w:abstractNumId w:val="0"/>
  </w:num>
  <w:num w:numId="10" w16cid:durableId="193924662">
    <w:abstractNumId w:val="10"/>
  </w:num>
  <w:num w:numId="11" w16cid:durableId="1057049496">
    <w:abstractNumId w:val="15"/>
  </w:num>
  <w:num w:numId="12" w16cid:durableId="1179275292">
    <w:abstractNumId w:val="8"/>
  </w:num>
  <w:num w:numId="13" w16cid:durableId="491062368">
    <w:abstractNumId w:val="11"/>
  </w:num>
  <w:num w:numId="14" w16cid:durableId="756483023">
    <w:abstractNumId w:val="4"/>
  </w:num>
  <w:num w:numId="15" w16cid:durableId="1097948986">
    <w:abstractNumId w:val="4"/>
  </w:num>
  <w:num w:numId="16" w16cid:durableId="161513394">
    <w:abstractNumId w:val="17"/>
  </w:num>
  <w:num w:numId="17" w16cid:durableId="586964015">
    <w:abstractNumId w:val="6"/>
  </w:num>
  <w:num w:numId="18" w16cid:durableId="1381826758">
    <w:abstractNumId w:val="19"/>
  </w:num>
  <w:num w:numId="19" w16cid:durableId="1654290079">
    <w:abstractNumId w:val="5"/>
  </w:num>
  <w:num w:numId="20" w16cid:durableId="905142107">
    <w:abstractNumId w:val="16"/>
  </w:num>
  <w:num w:numId="21" w16cid:durableId="907417062">
    <w:abstractNumId w:val="20"/>
  </w:num>
  <w:num w:numId="22" w16cid:durableId="539246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6C"/>
    <w:rsid w:val="00001F64"/>
    <w:rsid w:val="00002880"/>
    <w:rsid w:val="000152B2"/>
    <w:rsid w:val="00016C25"/>
    <w:rsid w:val="00027849"/>
    <w:rsid w:val="00031F6B"/>
    <w:rsid w:val="00031FAD"/>
    <w:rsid w:val="00042768"/>
    <w:rsid w:val="0004292D"/>
    <w:rsid w:val="00052276"/>
    <w:rsid w:val="000603F7"/>
    <w:rsid w:val="0006114D"/>
    <w:rsid w:val="00063D7E"/>
    <w:rsid w:val="000713D2"/>
    <w:rsid w:val="00072266"/>
    <w:rsid w:val="000876FF"/>
    <w:rsid w:val="000922AB"/>
    <w:rsid w:val="00092329"/>
    <w:rsid w:val="000978AC"/>
    <w:rsid w:val="000A03C6"/>
    <w:rsid w:val="000A20AA"/>
    <w:rsid w:val="000A6D82"/>
    <w:rsid w:val="000B219E"/>
    <w:rsid w:val="000B421F"/>
    <w:rsid w:val="000B73B2"/>
    <w:rsid w:val="000C48A7"/>
    <w:rsid w:val="000C6933"/>
    <w:rsid w:val="000C77EA"/>
    <w:rsid w:val="000D4670"/>
    <w:rsid w:val="000D596E"/>
    <w:rsid w:val="000E181D"/>
    <w:rsid w:val="00100535"/>
    <w:rsid w:val="00103123"/>
    <w:rsid w:val="00105110"/>
    <w:rsid w:val="00121358"/>
    <w:rsid w:val="00132858"/>
    <w:rsid w:val="00134DC1"/>
    <w:rsid w:val="0013666D"/>
    <w:rsid w:val="00145C54"/>
    <w:rsid w:val="001506B6"/>
    <w:rsid w:val="0016718C"/>
    <w:rsid w:val="00172415"/>
    <w:rsid w:val="001731D6"/>
    <w:rsid w:val="001743AF"/>
    <w:rsid w:val="0018560F"/>
    <w:rsid w:val="00187C77"/>
    <w:rsid w:val="001926EB"/>
    <w:rsid w:val="00194B82"/>
    <w:rsid w:val="001B327A"/>
    <w:rsid w:val="001B74CF"/>
    <w:rsid w:val="001D01C0"/>
    <w:rsid w:val="001E0970"/>
    <w:rsid w:val="001E160A"/>
    <w:rsid w:val="001E57A9"/>
    <w:rsid w:val="001F2002"/>
    <w:rsid w:val="001F3F97"/>
    <w:rsid w:val="00201165"/>
    <w:rsid w:val="00216F06"/>
    <w:rsid w:val="0022125E"/>
    <w:rsid w:val="00221F61"/>
    <w:rsid w:val="00230724"/>
    <w:rsid w:val="00232F04"/>
    <w:rsid w:val="002344B6"/>
    <w:rsid w:val="00247057"/>
    <w:rsid w:val="0026520D"/>
    <w:rsid w:val="00274FD4"/>
    <w:rsid w:val="00277B01"/>
    <w:rsid w:val="00290D8F"/>
    <w:rsid w:val="002928EE"/>
    <w:rsid w:val="00293EA7"/>
    <w:rsid w:val="00297FDE"/>
    <w:rsid w:val="002A6180"/>
    <w:rsid w:val="002B1164"/>
    <w:rsid w:val="002B48EC"/>
    <w:rsid w:val="002C6D61"/>
    <w:rsid w:val="002C7B0E"/>
    <w:rsid w:val="002D2EB3"/>
    <w:rsid w:val="002F3AB6"/>
    <w:rsid w:val="002F596E"/>
    <w:rsid w:val="002F6C9F"/>
    <w:rsid w:val="00300B8D"/>
    <w:rsid w:val="0030724A"/>
    <w:rsid w:val="00310847"/>
    <w:rsid w:val="003207C3"/>
    <w:rsid w:val="003220B1"/>
    <w:rsid w:val="003223EB"/>
    <w:rsid w:val="00326C95"/>
    <w:rsid w:val="003270C5"/>
    <w:rsid w:val="00341799"/>
    <w:rsid w:val="003523CE"/>
    <w:rsid w:val="00375730"/>
    <w:rsid w:val="0038039D"/>
    <w:rsid w:val="00384D54"/>
    <w:rsid w:val="0038638D"/>
    <w:rsid w:val="00391714"/>
    <w:rsid w:val="0039274E"/>
    <w:rsid w:val="003C51E9"/>
    <w:rsid w:val="003D123A"/>
    <w:rsid w:val="003D50B9"/>
    <w:rsid w:val="003D7091"/>
    <w:rsid w:val="003E3B94"/>
    <w:rsid w:val="003F1ACD"/>
    <w:rsid w:val="003F259B"/>
    <w:rsid w:val="00402BFE"/>
    <w:rsid w:val="00404E06"/>
    <w:rsid w:val="004056DA"/>
    <w:rsid w:val="00407422"/>
    <w:rsid w:val="0041646C"/>
    <w:rsid w:val="00421267"/>
    <w:rsid w:val="0043696C"/>
    <w:rsid w:val="004450EB"/>
    <w:rsid w:val="00445DD9"/>
    <w:rsid w:val="00447855"/>
    <w:rsid w:val="004519F1"/>
    <w:rsid w:val="00453B6E"/>
    <w:rsid w:val="0045732D"/>
    <w:rsid w:val="004630C1"/>
    <w:rsid w:val="00464B87"/>
    <w:rsid w:val="00476BC9"/>
    <w:rsid w:val="00480ED3"/>
    <w:rsid w:val="0048193E"/>
    <w:rsid w:val="00487433"/>
    <w:rsid w:val="004D0D44"/>
    <w:rsid w:val="004D5CD9"/>
    <w:rsid w:val="004D7A23"/>
    <w:rsid w:val="004F0E69"/>
    <w:rsid w:val="004F48C5"/>
    <w:rsid w:val="00507433"/>
    <w:rsid w:val="005125E4"/>
    <w:rsid w:val="00512CB0"/>
    <w:rsid w:val="0052214D"/>
    <w:rsid w:val="00522C56"/>
    <w:rsid w:val="0052348A"/>
    <w:rsid w:val="00523B31"/>
    <w:rsid w:val="0053708A"/>
    <w:rsid w:val="00537DD3"/>
    <w:rsid w:val="00544D18"/>
    <w:rsid w:val="00546FFD"/>
    <w:rsid w:val="00581611"/>
    <w:rsid w:val="00583BD1"/>
    <w:rsid w:val="005A2F2B"/>
    <w:rsid w:val="005A2FC1"/>
    <w:rsid w:val="005A5FFA"/>
    <w:rsid w:val="005A69E6"/>
    <w:rsid w:val="005B2039"/>
    <w:rsid w:val="005B7DD5"/>
    <w:rsid w:val="005B7FE3"/>
    <w:rsid w:val="005D1023"/>
    <w:rsid w:val="005D1081"/>
    <w:rsid w:val="005D6631"/>
    <w:rsid w:val="005E3861"/>
    <w:rsid w:val="005E76DB"/>
    <w:rsid w:val="005F636C"/>
    <w:rsid w:val="0061439D"/>
    <w:rsid w:val="006176F7"/>
    <w:rsid w:val="006223C6"/>
    <w:rsid w:val="00626C0E"/>
    <w:rsid w:val="00630E0B"/>
    <w:rsid w:val="00633AA4"/>
    <w:rsid w:val="0063741A"/>
    <w:rsid w:val="00641EBC"/>
    <w:rsid w:val="0064293E"/>
    <w:rsid w:val="00653187"/>
    <w:rsid w:val="00653A0E"/>
    <w:rsid w:val="0065643A"/>
    <w:rsid w:val="006610C7"/>
    <w:rsid w:val="00675A15"/>
    <w:rsid w:val="00680A81"/>
    <w:rsid w:val="00681BAC"/>
    <w:rsid w:val="006831A1"/>
    <w:rsid w:val="00692624"/>
    <w:rsid w:val="00696FDB"/>
    <w:rsid w:val="006A191D"/>
    <w:rsid w:val="006B4073"/>
    <w:rsid w:val="006B5538"/>
    <w:rsid w:val="006B5FEE"/>
    <w:rsid w:val="006B72F5"/>
    <w:rsid w:val="006C0A3C"/>
    <w:rsid w:val="006C2DEF"/>
    <w:rsid w:val="006C481E"/>
    <w:rsid w:val="006D486C"/>
    <w:rsid w:val="006E0BA9"/>
    <w:rsid w:val="006F4B3C"/>
    <w:rsid w:val="0070279A"/>
    <w:rsid w:val="0070789B"/>
    <w:rsid w:val="007143D4"/>
    <w:rsid w:val="00746239"/>
    <w:rsid w:val="00757394"/>
    <w:rsid w:val="00760C9D"/>
    <w:rsid w:val="0077732B"/>
    <w:rsid w:val="007C50CF"/>
    <w:rsid w:val="007D3022"/>
    <w:rsid w:val="007E2554"/>
    <w:rsid w:val="007F3CF7"/>
    <w:rsid w:val="007F6049"/>
    <w:rsid w:val="00805298"/>
    <w:rsid w:val="00816163"/>
    <w:rsid w:val="00826521"/>
    <w:rsid w:val="00831D58"/>
    <w:rsid w:val="008327AC"/>
    <w:rsid w:val="00832B2F"/>
    <w:rsid w:val="00846CAA"/>
    <w:rsid w:val="008507AB"/>
    <w:rsid w:val="008669A3"/>
    <w:rsid w:val="008A013B"/>
    <w:rsid w:val="008A1AA8"/>
    <w:rsid w:val="008B10A3"/>
    <w:rsid w:val="008B7BDD"/>
    <w:rsid w:val="008E37DC"/>
    <w:rsid w:val="008F3453"/>
    <w:rsid w:val="00900A5B"/>
    <w:rsid w:val="009104C6"/>
    <w:rsid w:val="009212C5"/>
    <w:rsid w:val="00930BF1"/>
    <w:rsid w:val="00937266"/>
    <w:rsid w:val="00943313"/>
    <w:rsid w:val="009453F0"/>
    <w:rsid w:val="00950540"/>
    <w:rsid w:val="0097188B"/>
    <w:rsid w:val="009737E8"/>
    <w:rsid w:val="0097417E"/>
    <w:rsid w:val="0098370F"/>
    <w:rsid w:val="0098463E"/>
    <w:rsid w:val="009921E5"/>
    <w:rsid w:val="009A1C2B"/>
    <w:rsid w:val="009B03D6"/>
    <w:rsid w:val="009C1BEC"/>
    <w:rsid w:val="009C23F5"/>
    <w:rsid w:val="009C434E"/>
    <w:rsid w:val="009E0C89"/>
    <w:rsid w:val="009E130B"/>
    <w:rsid w:val="009F3756"/>
    <w:rsid w:val="00A02D91"/>
    <w:rsid w:val="00A04413"/>
    <w:rsid w:val="00A24DD2"/>
    <w:rsid w:val="00A404BC"/>
    <w:rsid w:val="00A47F19"/>
    <w:rsid w:val="00A530ED"/>
    <w:rsid w:val="00A5537D"/>
    <w:rsid w:val="00A5785E"/>
    <w:rsid w:val="00A60CE1"/>
    <w:rsid w:val="00A63093"/>
    <w:rsid w:val="00A6412D"/>
    <w:rsid w:val="00A65933"/>
    <w:rsid w:val="00A71FA4"/>
    <w:rsid w:val="00A81BCB"/>
    <w:rsid w:val="00AB44DA"/>
    <w:rsid w:val="00AC1272"/>
    <w:rsid w:val="00AD1648"/>
    <w:rsid w:val="00AD291F"/>
    <w:rsid w:val="00AD432F"/>
    <w:rsid w:val="00AE038B"/>
    <w:rsid w:val="00AE0B3D"/>
    <w:rsid w:val="00AE575D"/>
    <w:rsid w:val="00AF1DD8"/>
    <w:rsid w:val="00AF592C"/>
    <w:rsid w:val="00B07577"/>
    <w:rsid w:val="00B20E42"/>
    <w:rsid w:val="00B27685"/>
    <w:rsid w:val="00B306B1"/>
    <w:rsid w:val="00B50802"/>
    <w:rsid w:val="00B52B62"/>
    <w:rsid w:val="00B651DF"/>
    <w:rsid w:val="00B71275"/>
    <w:rsid w:val="00B72EA8"/>
    <w:rsid w:val="00B970CB"/>
    <w:rsid w:val="00BA38B1"/>
    <w:rsid w:val="00BB569A"/>
    <w:rsid w:val="00BC0B7A"/>
    <w:rsid w:val="00BC5503"/>
    <w:rsid w:val="00BD104E"/>
    <w:rsid w:val="00BD137B"/>
    <w:rsid w:val="00BE5196"/>
    <w:rsid w:val="00BE51A5"/>
    <w:rsid w:val="00BF25C8"/>
    <w:rsid w:val="00BF7618"/>
    <w:rsid w:val="00C046FE"/>
    <w:rsid w:val="00C12354"/>
    <w:rsid w:val="00C14602"/>
    <w:rsid w:val="00C16784"/>
    <w:rsid w:val="00C1773B"/>
    <w:rsid w:val="00C251AA"/>
    <w:rsid w:val="00C31B6C"/>
    <w:rsid w:val="00C445D2"/>
    <w:rsid w:val="00C46A23"/>
    <w:rsid w:val="00C55C6F"/>
    <w:rsid w:val="00C73DFE"/>
    <w:rsid w:val="00C85A21"/>
    <w:rsid w:val="00C91228"/>
    <w:rsid w:val="00C91CBA"/>
    <w:rsid w:val="00C93F81"/>
    <w:rsid w:val="00C978A4"/>
    <w:rsid w:val="00CB028F"/>
    <w:rsid w:val="00CB12B8"/>
    <w:rsid w:val="00CB7B71"/>
    <w:rsid w:val="00CC3129"/>
    <w:rsid w:val="00CD00DD"/>
    <w:rsid w:val="00CD19FC"/>
    <w:rsid w:val="00CD41BC"/>
    <w:rsid w:val="00CE6F96"/>
    <w:rsid w:val="00D052C4"/>
    <w:rsid w:val="00D10A7E"/>
    <w:rsid w:val="00D10EA1"/>
    <w:rsid w:val="00D12817"/>
    <w:rsid w:val="00D31F2B"/>
    <w:rsid w:val="00D36983"/>
    <w:rsid w:val="00D429A3"/>
    <w:rsid w:val="00D462E4"/>
    <w:rsid w:val="00D465FA"/>
    <w:rsid w:val="00D57F66"/>
    <w:rsid w:val="00D77C07"/>
    <w:rsid w:val="00D807C6"/>
    <w:rsid w:val="00D90314"/>
    <w:rsid w:val="00D90F05"/>
    <w:rsid w:val="00D95F82"/>
    <w:rsid w:val="00DB0100"/>
    <w:rsid w:val="00DB02F2"/>
    <w:rsid w:val="00DB0C13"/>
    <w:rsid w:val="00DB7324"/>
    <w:rsid w:val="00DC3CF1"/>
    <w:rsid w:val="00DC53CD"/>
    <w:rsid w:val="00DE1028"/>
    <w:rsid w:val="00DE1C4E"/>
    <w:rsid w:val="00DF6BFD"/>
    <w:rsid w:val="00DF7B1C"/>
    <w:rsid w:val="00E03287"/>
    <w:rsid w:val="00E03515"/>
    <w:rsid w:val="00E042CC"/>
    <w:rsid w:val="00E159C0"/>
    <w:rsid w:val="00E31C66"/>
    <w:rsid w:val="00E423F3"/>
    <w:rsid w:val="00E504A7"/>
    <w:rsid w:val="00E548D6"/>
    <w:rsid w:val="00E55169"/>
    <w:rsid w:val="00E6094B"/>
    <w:rsid w:val="00E64400"/>
    <w:rsid w:val="00E7567B"/>
    <w:rsid w:val="00E7572C"/>
    <w:rsid w:val="00E81537"/>
    <w:rsid w:val="00E8353F"/>
    <w:rsid w:val="00E85623"/>
    <w:rsid w:val="00EA2AF2"/>
    <w:rsid w:val="00EA4851"/>
    <w:rsid w:val="00EA670C"/>
    <w:rsid w:val="00EB1EB2"/>
    <w:rsid w:val="00EB69D4"/>
    <w:rsid w:val="00EB718B"/>
    <w:rsid w:val="00EC1A5A"/>
    <w:rsid w:val="00EC5803"/>
    <w:rsid w:val="00EE07AC"/>
    <w:rsid w:val="00EF14B7"/>
    <w:rsid w:val="00EF18E1"/>
    <w:rsid w:val="00EF1BDE"/>
    <w:rsid w:val="00EF3E5B"/>
    <w:rsid w:val="00EF615B"/>
    <w:rsid w:val="00EF758A"/>
    <w:rsid w:val="00F14087"/>
    <w:rsid w:val="00F17916"/>
    <w:rsid w:val="00F217C7"/>
    <w:rsid w:val="00F53448"/>
    <w:rsid w:val="00F64560"/>
    <w:rsid w:val="00F64E6B"/>
    <w:rsid w:val="00F72937"/>
    <w:rsid w:val="00F72F35"/>
    <w:rsid w:val="00F766C0"/>
    <w:rsid w:val="00F81733"/>
    <w:rsid w:val="00F84B30"/>
    <w:rsid w:val="00F92FFE"/>
    <w:rsid w:val="00F9356A"/>
    <w:rsid w:val="00FA759A"/>
    <w:rsid w:val="00FB06BB"/>
    <w:rsid w:val="00FC50F3"/>
    <w:rsid w:val="00FD0616"/>
    <w:rsid w:val="00FD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95F7"/>
  <w15:chartTrackingRefBased/>
  <w15:docId w15:val="{528330B0-58EF-4032-98C0-0D34D7AF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D82"/>
    <w:pPr>
      <w:spacing w:after="0" w:line="276" w:lineRule="auto"/>
      <w:ind w:left="360"/>
    </w:pPr>
    <w:rPr>
      <w:rFonts w:ascii="Arial" w:eastAsia="Calibri"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24A"/>
    <w:pPr>
      <w:tabs>
        <w:tab w:val="center" w:pos="4680"/>
        <w:tab w:val="right" w:pos="9360"/>
      </w:tabs>
      <w:spacing w:line="240" w:lineRule="auto"/>
    </w:pPr>
  </w:style>
  <w:style w:type="character" w:customStyle="1" w:styleId="HeaderChar">
    <w:name w:val="Header Char"/>
    <w:basedOn w:val="DefaultParagraphFont"/>
    <w:link w:val="Header"/>
    <w:uiPriority w:val="99"/>
    <w:rsid w:val="0030724A"/>
  </w:style>
  <w:style w:type="paragraph" w:styleId="Footer">
    <w:name w:val="footer"/>
    <w:basedOn w:val="Normal"/>
    <w:link w:val="FooterChar"/>
    <w:uiPriority w:val="99"/>
    <w:unhideWhenUsed/>
    <w:rsid w:val="0030724A"/>
    <w:pPr>
      <w:tabs>
        <w:tab w:val="center" w:pos="4680"/>
        <w:tab w:val="right" w:pos="9360"/>
      </w:tabs>
      <w:spacing w:line="240" w:lineRule="auto"/>
    </w:pPr>
  </w:style>
  <w:style w:type="character" w:customStyle="1" w:styleId="FooterChar">
    <w:name w:val="Footer Char"/>
    <w:basedOn w:val="DefaultParagraphFont"/>
    <w:link w:val="Footer"/>
    <w:uiPriority w:val="99"/>
    <w:rsid w:val="0030724A"/>
  </w:style>
  <w:style w:type="table" w:styleId="TableGrid">
    <w:name w:val="Table Grid"/>
    <w:basedOn w:val="TableNormal"/>
    <w:uiPriority w:val="39"/>
    <w:rsid w:val="0030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CAA"/>
    <w:pPr>
      <w:ind w:left="720"/>
      <w:contextualSpacing/>
    </w:pPr>
  </w:style>
  <w:style w:type="paragraph" w:styleId="NoSpacing">
    <w:name w:val="No Spacing"/>
    <w:uiPriority w:val="1"/>
    <w:qFormat/>
    <w:rsid w:val="00AD432F"/>
    <w:pPr>
      <w:spacing w:after="0" w:line="240" w:lineRule="auto"/>
    </w:pPr>
  </w:style>
  <w:style w:type="paragraph" w:styleId="PlainText">
    <w:name w:val="Plain Text"/>
    <w:basedOn w:val="Normal"/>
    <w:link w:val="PlainTextChar"/>
    <w:uiPriority w:val="99"/>
    <w:semiHidden/>
    <w:unhideWhenUsed/>
    <w:rsid w:val="0097417E"/>
    <w:pPr>
      <w:spacing w:line="240" w:lineRule="auto"/>
    </w:pPr>
    <w:rPr>
      <w:rFonts w:ascii="Calibri" w:hAnsi="Calibri" w:cs="Calibri"/>
    </w:rPr>
  </w:style>
  <w:style w:type="character" w:customStyle="1" w:styleId="PlainTextChar">
    <w:name w:val="Plain Text Char"/>
    <w:basedOn w:val="DefaultParagraphFont"/>
    <w:link w:val="PlainText"/>
    <w:uiPriority w:val="99"/>
    <w:semiHidden/>
    <w:rsid w:val="0097417E"/>
    <w:rPr>
      <w:rFonts w:ascii="Calibri" w:eastAsia="Calibri" w:hAnsi="Calibri" w:cs="Calibri"/>
    </w:rPr>
  </w:style>
  <w:style w:type="paragraph" w:styleId="Revision">
    <w:name w:val="Revision"/>
    <w:hidden/>
    <w:uiPriority w:val="99"/>
    <w:semiHidden/>
    <w:rsid w:val="005A2FC1"/>
    <w:pPr>
      <w:spacing w:after="0" w:line="240" w:lineRule="auto"/>
    </w:pPr>
    <w:rPr>
      <w:rFonts w:ascii="Arial" w:eastAsia="Calibr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Spurlock, Anthony T</dc:creator>
  <cp:keywords/>
  <dc:description/>
  <cp:lastModifiedBy>Spurlock, Anthony T</cp:lastModifiedBy>
  <cp:revision>8</cp:revision>
  <dcterms:created xsi:type="dcterms:W3CDTF">2022-10-21T13:43:00Z</dcterms:created>
  <dcterms:modified xsi:type="dcterms:W3CDTF">2022-10-21T14:27:00Z</dcterms:modified>
</cp:coreProperties>
</file>