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4654A" w14:textId="43698B5C" w:rsidR="00957F1A" w:rsidRPr="004E6632" w:rsidRDefault="004E6632" w:rsidP="004E6632">
      <w:pPr>
        <w:jc w:val="center"/>
        <w:rPr>
          <w:b/>
          <w:bCs/>
          <w:sz w:val="32"/>
          <w:szCs w:val="32"/>
        </w:rPr>
      </w:pPr>
      <w:r w:rsidRPr="004E6632">
        <w:rPr>
          <w:b/>
          <w:bCs/>
          <w:sz w:val="32"/>
          <w:szCs w:val="32"/>
        </w:rPr>
        <w:t>Batteries Managed by Division of Research Safety’s Waste Management Group – SMSF</w:t>
      </w:r>
    </w:p>
    <w:p w14:paraId="723B02FC" w14:textId="77777777" w:rsidR="004E6632" w:rsidRDefault="004E6632"/>
    <w:p w14:paraId="778FC935" w14:textId="475B080E" w:rsidR="004E6632" w:rsidRPr="004E6632" w:rsidRDefault="004E6632">
      <w:pPr>
        <w:rPr>
          <w:b/>
          <w:bCs/>
          <w:i/>
          <w:iCs/>
        </w:rPr>
      </w:pPr>
      <w:r w:rsidRPr="004E6632">
        <w:rPr>
          <w:b/>
          <w:bCs/>
          <w:i/>
          <w:iCs/>
        </w:rPr>
        <w:t xml:space="preserve">NOTE: Batteries </w:t>
      </w:r>
      <w:r>
        <w:rPr>
          <w:b/>
          <w:bCs/>
          <w:i/>
          <w:iCs/>
        </w:rPr>
        <w:t>m</w:t>
      </w:r>
      <w:r w:rsidRPr="004E6632">
        <w:rPr>
          <w:b/>
          <w:bCs/>
          <w:i/>
          <w:iCs/>
        </w:rPr>
        <w:t xml:space="preserve">anaged by the group are sorted according to methods utilized for managing </w:t>
      </w:r>
      <w:r>
        <w:rPr>
          <w:b/>
          <w:bCs/>
          <w:i/>
          <w:iCs/>
        </w:rPr>
        <w:t>“Hazardous W</w:t>
      </w:r>
      <w:r w:rsidRPr="004E6632">
        <w:rPr>
          <w:b/>
          <w:bCs/>
          <w:i/>
          <w:iCs/>
        </w:rPr>
        <w:t>aste</w:t>
      </w:r>
      <w:r>
        <w:rPr>
          <w:b/>
          <w:bCs/>
          <w:i/>
          <w:iCs/>
        </w:rPr>
        <w:t>”</w:t>
      </w:r>
      <w:r w:rsidRPr="004E6632">
        <w:rPr>
          <w:b/>
          <w:bCs/>
          <w:i/>
          <w:iCs/>
        </w:rPr>
        <w:t xml:space="preserve"> materials. The items are NOT counted. The manifesting and waste rules dictate management by weight or volume and accordingly this report </w:t>
      </w:r>
      <w:r>
        <w:rPr>
          <w:b/>
          <w:bCs/>
          <w:i/>
          <w:iCs/>
        </w:rPr>
        <w:t>represents</w:t>
      </w:r>
      <w:r w:rsidRPr="004E6632">
        <w:rPr>
          <w:b/>
          <w:bCs/>
          <w:i/>
          <w:iCs/>
        </w:rPr>
        <w:t xml:space="preserve"> that.</w:t>
      </w:r>
      <w:r>
        <w:rPr>
          <w:b/>
          <w:bCs/>
          <w:i/>
          <w:iCs/>
        </w:rPr>
        <w:t xml:space="preserve"> This contrasts with “Universal Waste” management methods utilized by other Campus centers that may or may not be required to include item counts.</w:t>
      </w:r>
    </w:p>
    <w:p w14:paraId="7734AF79" w14:textId="77777777" w:rsidR="004E6632" w:rsidRDefault="004E6632"/>
    <w:tbl>
      <w:tblPr>
        <w:tblStyle w:val="PlainTable1"/>
        <w:tblW w:w="9586" w:type="dxa"/>
        <w:tblLayout w:type="fixed"/>
        <w:tblLook w:val="04E0" w:firstRow="1" w:lastRow="1" w:firstColumn="1" w:lastColumn="0" w:noHBand="0" w:noVBand="1"/>
      </w:tblPr>
      <w:tblGrid>
        <w:gridCol w:w="1885"/>
        <w:gridCol w:w="1620"/>
        <w:gridCol w:w="720"/>
        <w:gridCol w:w="720"/>
        <w:gridCol w:w="720"/>
        <w:gridCol w:w="720"/>
        <w:gridCol w:w="720"/>
        <w:gridCol w:w="720"/>
        <w:gridCol w:w="810"/>
        <w:gridCol w:w="951"/>
      </w:tblGrid>
      <w:tr w:rsidR="00237E44" w14:paraId="3B51BD82" w14:textId="5D361AE2" w:rsidTr="00237E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637B69EB" w14:textId="5F1A75A9" w:rsidR="00942D45" w:rsidRDefault="00942D45" w:rsidP="00CF05D4">
            <w:pPr>
              <w:jc w:val="center"/>
            </w:pPr>
            <w:r>
              <w:t>Battery Type</w:t>
            </w:r>
          </w:p>
        </w:tc>
        <w:tc>
          <w:tcPr>
            <w:tcW w:w="1620" w:type="dxa"/>
          </w:tcPr>
          <w:p w14:paraId="109B426D" w14:textId="5F056D66" w:rsidR="00942D45" w:rsidRDefault="00942D45" w:rsidP="00CF05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Category</w:t>
            </w:r>
            <w:r w:rsidR="0089401A">
              <w:t xml:space="preserve"> - </w:t>
            </w:r>
            <w:r>
              <w:t>Management</w:t>
            </w:r>
          </w:p>
        </w:tc>
        <w:tc>
          <w:tcPr>
            <w:tcW w:w="720" w:type="dxa"/>
          </w:tcPr>
          <w:p w14:paraId="2F501236" w14:textId="688F3490" w:rsidR="00942D45" w:rsidRDefault="00942D45" w:rsidP="00CF05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201</w:t>
            </w:r>
            <w:r w:rsidR="00237E44">
              <w:t>6 (lbs.)</w:t>
            </w:r>
          </w:p>
        </w:tc>
        <w:tc>
          <w:tcPr>
            <w:tcW w:w="720" w:type="dxa"/>
          </w:tcPr>
          <w:p w14:paraId="2DD76774" w14:textId="344E8AB7" w:rsidR="00942D45" w:rsidRDefault="00942D45" w:rsidP="00CF05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2017</w:t>
            </w:r>
            <w:r w:rsidR="00237E44">
              <w:t xml:space="preserve"> (lbs.)</w:t>
            </w:r>
          </w:p>
        </w:tc>
        <w:tc>
          <w:tcPr>
            <w:tcW w:w="720" w:type="dxa"/>
          </w:tcPr>
          <w:p w14:paraId="3BA88BB5" w14:textId="27B01ADE" w:rsidR="00942D45" w:rsidRDefault="00942D45" w:rsidP="00CF05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2018</w:t>
            </w:r>
            <w:r w:rsidR="00237E44">
              <w:t xml:space="preserve"> (lbs.)</w:t>
            </w:r>
          </w:p>
        </w:tc>
        <w:tc>
          <w:tcPr>
            <w:tcW w:w="720" w:type="dxa"/>
          </w:tcPr>
          <w:p w14:paraId="4C046BEE" w14:textId="48C251C3" w:rsidR="00942D45" w:rsidRDefault="00942D45" w:rsidP="00CF05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2019</w:t>
            </w:r>
            <w:r w:rsidR="00237E44">
              <w:t xml:space="preserve"> (lbs.)</w:t>
            </w:r>
          </w:p>
        </w:tc>
        <w:tc>
          <w:tcPr>
            <w:tcW w:w="720" w:type="dxa"/>
          </w:tcPr>
          <w:p w14:paraId="60AD66BF" w14:textId="44468AD8" w:rsidR="00942D45" w:rsidRDefault="00942D45" w:rsidP="00CF05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2020</w:t>
            </w:r>
            <w:r w:rsidR="00237E44">
              <w:t xml:space="preserve"> (lbs.)</w:t>
            </w:r>
          </w:p>
        </w:tc>
        <w:tc>
          <w:tcPr>
            <w:tcW w:w="720" w:type="dxa"/>
          </w:tcPr>
          <w:p w14:paraId="774B8CB1" w14:textId="697C8FD4" w:rsidR="00942D45" w:rsidRDefault="00942D45" w:rsidP="00CF05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2021</w:t>
            </w:r>
            <w:r w:rsidR="00237E44">
              <w:t xml:space="preserve"> (lbs.)</w:t>
            </w:r>
          </w:p>
        </w:tc>
        <w:tc>
          <w:tcPr>
            <w:tcW w:w="810" w:type="dxa"/>
          </w:tcPr>
          <w:p w14:paraId="2861644E" w14:textId="3BCC5933" w:rsidR="00942D45" w:rsidRDefault="00942D45" w:rsidP="00CF05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2022</w:t>
            </w:r>
            <w:r w:rsidR="00237E44">
              <w:t xml:space="preserve"> (lbs.)</w:t>
            </w:r>
          </w:p>
        </w:tc>
        <w:tc>
          <w:tcPr>
            <w:tcW w:w="951" w:type="dxa"/>
          </w:tcPr>
          <w:p w14:paraId="7FB246EF" w14:textId="3FA9FDA8" w:rsidR="00942D45" w:rsidRDefault="00942D45" w:rsidP="00CF05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2023</w:t>
            </w:r>
            <w:r w:rsidR="00237E44">
              <w:t xml:space="preserve"> </w:t>
            </w:r>
            <w:r>
              <w:t>YTD</w:t>
            </w:r>
            <w:r w:rsidR="00237E44">
              <w:t xml:space="preserve"> (lbs.)</w:t>
            </w:r>
          </w:p>
        </w:tc>
      </w:tr>
      <w:tr w:rsidR="00237E44" w14:paraId="39636B7D" w14:textId="7558422C" w:rsidTr="00237E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49DFEE68" w14:textId="0B1A9EAE" w:rsidR="00942D45" w:rsidRDefault="00942D45" w:rsidP="00CF05D4">
            <w:pPr>
              <w:jc w:val="center"/>
            </w:pPr>
            <w:r>
              <w:t>Alkaline, Zinc-Carbon</w:t>
            </w:r>
          </w:p>
        </w:tc>
        <w:tc>
          <w:tcPr>
            <w:tcW w:w="1620" w:type="dxa"/>
          </w:tcPr>
          <w:p w14:paraId="2EC9DEE1" w14:textId="0C13B58A" w:rsidR="00942D45" w:rsidRDefault="00942D45" w:rsidP="00CF05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Non-Hazardous, Non-Regulated, Non-Recycled</w:t>
            </w:r>
          </w:p>
        </w:tc>
        <w:tc>
          <w:tcPr>
            <w:tcW w:w="720" w:type="dxa"/>
          </w:tcPr>
          <w:p w14:paraId="11782213" w14:textId="3ED273F4" w:rsidR="00942D45" w:rsidRDefault="00237E44" w:rsidP="00CF05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*</w:t>
            </w:r>
          </w:p>
        </w:tc>
        <w:tc>
          <w:tcPr>
            <w:tcW w:w="720" w:type="dxa"/>
          </w:tcPr>
          <w:p w14:paraId="48BFFF8E" w14:textId="2AB71B27" w:rsidR="00942D45" w:rsidRDefault="00237E44" w:rsidP="00CF05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*</w:t>
            </w:r>
          </w:p>
        </w:tc>
        <w:tc>
          <w:tcPr>
            <w:tcW w:w="720" w:type="dxa"/>
          </w:tcPr>
          <w:p w14:paraId="08BBBD76" w14:textId="4D9973E5" w:rsidR="00942D45" w:rsidRDefault="00237E44" w:rsidP="00CF05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*</w:t>
            </w:r>
          </w:p>
        </w:tc>
        <w:tc>
          <w:tcPr>
            <w:tcW w:w="720" w:type="dxa"/>
          </w:tcPr>
          <w:p w14:paraId="2560074C" w14:textId="7B5995D6" w:rsidR="00942D45" w:rsidRDefault="00CF05D4" w:rsidP="00CF05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121</w:t>
            </w:r>
          </w:p>
        </w:tc>
        <w:tc>
          <w:tcPr>
            <w:tcW w:w="720" w:type="dxa"/>
          </w:tcPr>
          <w:p w14:paraId="7004C79F" w14:textId="5272FF67" w:rsidR="00942D45" w:rsidRDefault="00CF05D4" w:rsidP="00CF05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53</w:t>
            </w:r>
          </w:p>
        </w:tc>
        <w:tc>
          <w:tcPr>
            <w:tcW w:w="720" w:type="dxa"/>
          </w:tcPr>
          <w:p w14:paraId="1E6C6519" w14:textId="77777777" w:rsidR="00942D45" w:rsidRDefault="00CF05D4" w:rsidP="00CF05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254</w:t>
            </w:r>
          </w:p>
          <w:p w14:paraId="026B16E0" w14:textId="2B814336" w:rsidR="00CF05D4" w:rsidRDefault="00CF05D4" w:rsidP="00CF05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10" w:type="dxa"/>
          </w:tcPr>
          <w:p w14:paraId="61594971" w14:textId="4AEF6397" w:rsidR="00942D45" w:rsidRDefault="00CF05D4" w:rsidP="00CF05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420</w:t>
            </w:r>
          </w:p>
        </w:tc>
        <w:tc>
          <w:tcPr>
            <w:tcW w:w="951" w:type="dxa"/>
          </w:tcPr>
          <w:p w14:paraId="5C488571" w14:textId="77777777" w:rsidR="00942D45" w:rsidRDefault="00CF05D4" w:rsidP="00CF05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228</w:t>
            </w:r>
          </w:p>
          <w:p w14:paraId="55EF7BDB" w14:textId="0DF5D8C5" w:rsidR="00CF05D4" w:rsidRDefault="00CF05D4" w:rsidP="00CF05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7E44" w14:paraId="57A7B509" w14:textId="5F6F73B9" w:rsidTr="00237E44">
        <w:trPr>
          <w:trHeight w:val="2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361F796C" w14:textId="3DD0A906" w:rsidR="00942D45" w:rsidRDefault="00CF05D4" w:rsidP="00CF05D4">
            <w:pPr>
              <w:jc w:val="center"/>
            </w:pPr>
            <w:r>
              <w:t>Nickel-Cadmium (NiCd), Nickel Metal Hydride (NMH), Lithium (Li) Ion &amp; Polymer (LiPo), Silver Oxide (AgO)</w:t>
            </w:r>
          </w:p>
        </w:tc>
        <w:tc>
          <w:tcPr>
            <w:tcW w:w="1620" w:type="dxa"/>
          </w:tcPr>
          <w:p w14:paraId="7081E3FF" w14:textId="29D06C96" w:rsidR="00942D45" w:rsidRDefault="00CF05D4" w:rsidP="00CF05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Recycle – Outside Shipment</w:t>
            </w:r>
          </w:p>
        </w:tc>
        <w:tc>
          <w:tcPr>
            <w:tcW w:w="720" w:type="dxa"/>
          </w:tcPr>
          <w:p w14:paraId="42149D94" w14:textId="29307895" w:rsidR="00942D45" w:rsidRDefault="00CF05D4" w:rsidP="00CF05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93</w:t>
            </w:r>
          </w:p>
        </w:tc>
        <w:tc>
          <w:tcPr>
            <w:tcW w:w="720" w:type="dxa"/>
          </w:tcPr>
          <w:p w14:paraId="2BEE1EFE" w14:textId="538A9817" w:rsidR="00942D45" w:rsidRDefault="00CF05D4" w:rsidP="00CF05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</w:t>
            </w:r>
          </w:p>
        </w:tc>
        <w:tc>
          <w:tcPr>
            <w:tcW w:w="720" w:type="dxa"/>
          </w:tcPr>
          <w:p w14:paraId="6927C326" w14:textId="0810E18F" w:rsidR="00942D45" w:rsidRDefault="00CF05D4" w:rsidP="00CF05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179</w:t>
            </w:r>
          </w:p>
        </w:tc>
        <w:tc>
          <w:tcPr>
            <w:tcW w:w="720" w:type="dxa"/>
          </w:tcPr>
          <w:p w14:paraId="35767095" w14:textId="2F4E69B9" w:rsidR="00942D45" w:rsidRDefault="00CF05D4" w:rsidP="00CF05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83</w:t>
            </w:r>
          </w:p>
        </w:tc>
        <w:tc>
          <w:tcPr>
            <w:tcW w:w="720" w:type="dxa"/>
          </w:tcPr>
          <w:p w14:paraId="1BC9CD90" w14:textId="5B85CF1E" w:rsidR="00942D45" w:rsidRDefault="00CF05D4" w:rsidP="00CF05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</w:t>
            </w:r>
          </w:p>
        </w:tc>
        <w:tc>
          <w:tcPr>
            <w:tcW w:w="720" w:type="dxa"/>
          </w:tcPr>
          <w:p w14:paraId="27DFC117" w14:textId="5FEE2EE8" w:rsidR="00942D45" w:rsidRDefault="00CF05D4" w:rsidP="00CF05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402</w:t>
            </w:r>
          </w:p>
        </w:tc>
        <w:tc>
          <w:tcPr>
            <w:tcW w:w="810" w:type="dxa"/>
          </w:tcPr>
          <w:p w14:paraId="4DFF5689" w14:textId="13ABEF50" w:rsidR="00942D45" w:rsidRDefault="00CF05D4" w:rsidP="00CF05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248</w:t>
            </w:r>
          </w:p>
        </w:tc>
        <w:tc>
          <w:tcPr>
            <w:tcW w:w="951" w:type="dxa"/>
          </w:tcPr>
          <w:p w14:paraId="51B76103" w14:textId="4F045E4E" w:rsidR="00942D45" w:rsidRDefault="00CF05D4" w:rsidP="00CF05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89</w:t>
            </w:r>
          </w:p>
        </w:tc>
      </w:tr>
      <w:tr w:rsidR="00237E44" w14:paraId="00E24595" w14:textId="0311A402" w:rsidTr="00237E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57D9105B" w14:textId="455769A8" w:rsidR="00942D45" w:rsidRDefault="00CF05D4" w:rsidP="00CF05D4">
            <w:pPr>
              <w:jc w:val="center"/>
            </w:pPr>
            <w:r>
              <w:t>Lead-Acid Batteries</w:t>
            </w:r>
          </w:p>
        </w:tc>
        <w:tc>
          <w:tcPr>
            <w:tcW w:w="1620" w:type="dxa"/>
          </w:tcPr>
          <w:p w14:paraId="3D555717" w14:textId="17974CB4" w:rsidR="00942D45" w:rsidRDefault="0089401A" w:rsidP="00CF05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Transfer to F&amp;S Recycle</w:t>
            </w:r>
          </w:p>
        </w:tc>
        <w:tc>
          <w:tcPr>
            <w:tcW w:w="720" w:type="dxa"/>
          </w:tcPr>
          <w:p w14:paraId="0DFAD3A4" w14:textId="06FD3012" w:rsidR="00942D45" w:rsidRDefault="0089401A" w:rsidP="00CF05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143</w:t>
            </w:r>
          </w:p>
        </w:tc>
        <w:tc>
          <w:tcPr>
            <w:tcW w:w="720" w:type="dxa"/>
          </w:tcPr>
          <w:p w14:paraId="6A95FC96" w14:textId="0EA6B75A" w:rsidR="00942D45" w:rsidRDefault="0089401A" w:rsidP="00CF05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170</w:t>
            </w:r>
          </w:p>
        </w:tc>
        <w:tc>
          <w:tcPr>
            <w:tcW w:w="720" w:type="dxa"/>
          </w:tcPr>
          <w:p w14:paraId="170807AC" w14:textId="3A063FCF" w:rsidR="00942D45" w:rsidRDefault="0089401A" w:rsidP="00CF05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652</w:t>
            </w:r>
          </w:p>
        </w:tc>
        <w:tc>
          <w:tcPr>
            <w:tcW w:w="720" w:type="dxa"/>
          </w:tcPr>
          <w:p w14:paraId="2A1B0AA8" w14:textId="2DFA546F" w:rsidR="00942D45" w:rsidRDefault="0089401A" w:rsidP="00CF05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209</w:t>
            </w:r>
          </w:p>
        </w:tc>
        <w:tc>
          <w:tcPr>
            <w:tcW w:w="720" w:type="dxa"/>
          </w:tcPr>
          <w:p w14:paraId="6A749935" w14:textId="54852578" w:rsidR="00942D45" w:rsidRDefault="0089401A" w:rsidP="00CF05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552</w:t>
            </w:r>
          </w:p>
        </w:tc>
        <w:tc>
          <w:tcPr>
            <w:tcW w:w="720" w:type="dxa"/>
          </w:tcPr>
          <w:p w14:paraId="16267FB7" w14:textId="1FE63910" w:rsidR="00942D45" w:rsidRDefault="0089401A" w:rsidP="00CF05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1641</w:t>
            </w:r>
          </w:p>
        </w:tc>
        <w:tc>
          <w:tcPr>
            <w:tcW w:w="810" w:type="dxa"/>
          </w:tcPr>
          <w:p w14:paraId="5DFE53D0" w14:textId="36C4E94E" w:rsidR="00942D45" w:rsidRDefault="0089401A" w:rsidP="00CF05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690</w:t>
            </w:r>
          </w:p>
        </w:tc>
        <w:tc>
          <w:tcPr>
            <w:tcW w:w="951" w:type="dxa"/>
          </w:tcPr>
          <w:p w14:paraId="56CD9420" w14:textId="6ACD7ECA" w:rsidR="00942D45" w:rsidRDefault="0089401A" w:rsidP="00CF05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104</w:t>
            </w:r>
          </w:p>
        </w:tc>
      </w:tr>
      <w:tr w:rsidR="00237E44" w14:paraId="436BC496" w14:textId="77777777" w:rsidTr="00237E4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5A53FB59" w14:textId="55FAE6C9" w:rsidR="0089401A" w:rsidRDefault="00237E44" w:rsidP="00CF05D4">
            <w:pPr>
              <w:jc w:val="center"/>
            </w:pPr>
            <w:r>
              <w:t>TOTALS</w:t>
            </w:r>
          </w:p>
        </w:tc>
        <w:tc>
          <w:tcPr>
            <w:tcW w:w="1620" w:type="dxa"/>
          </w:tcPr>
          <w:p w14:paraId="62DE6889" w14:textId="77777777" w:rsidR="0089401A" w:rsidRDefault="0089401A" w:rsidP="00CF05D4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0" w:type="dxa"/>
          </w:tcPr>
          <w:p w14:paraId="095D3C7F" w14:textId="2351B97D" w:rsidR="0089401A" w:rsidRDefault="00237E44" w:rsidP="00CF05D4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>
              <w:t>236</w:t>
            </w:r>
          </w:p>
        </w:tc>
        <w:tc>
          <w:tcPr>
            <w:tcW w:w="720" w:type="dxa"/>
          </w:tcPr>
          <w:p w14:paraId="58E676C1" w14:textId="262BDF0C" w:rsidR="0089401A" w:rsidRDefault="00237E44" w:rsidP="00CF05D4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>
              <w:t>184</w:t>
            </w:r>
          </w:p>
        </w:tc>
        <w:tc>
          <w:tcPr>
            <w:tcW w:w="720" w:type="dxa"/>
          </w:tcPr>
          <w:p w14:paraId="1C66A0CF" w14:textId="0B396DA1" w:rsidR="0089401A" w:rsidRDefault="00237E44" w:rsidP="00CF05D4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>
              <w:t>831</w:t>
            </w:r>
          </w:p>
        </w:tc>
        <w:tc>
          <w:tcPr>
            <w:tcW w:w="720" w:type="dxa"/>
          </w:tcPr>
          <w:p w14:paraId="2833DEBF" w14:textId="48B843CA" w:rsidR="0089401A" w:rsidRDefault="00237E44" w:rsidP="00CF05D4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>
              <w:t>413</w:t>
            </w:r>
          </w:p>
        </w:tc>
        <w:tc>
          <w:tcPr>
            <w:tcW w:w="720" w:type="dxa"/>
          </w:tcPr>
          <w:p w14:paraId="68F50C0B" w14:textId="10022581" w:rsidR="0089401A" w:rsidRDefault="00237E44" w:rsidP="00CF05D4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>
              <w:t>661</w:t>
            </w:r>
          </w:p>
        </w:tc>
        <w:tc>
          <w:tcPr>
            <w:tcW w:w="720" w:type="dxa"/>
          </w:tcPr>
          <w:p w14:paraId="1BDBE6DA" w14:textId="27BA0DCE" w:rsidR="0089401A" w:rsidRDefault="00237E44" w:rsidP="00CF05D4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>
              <w:t>2297</w:t>
            </w:r>
          </w:p>
        </w:tc>
        <w:tc>
          <w:tcPr>
            <w:tcW w:w="810" w:type="dxa"/>
          </w:tcPr>
          <w:p w14:paraId="5E33FF67" w14:textId="01D32ACC" w:rsidR="0089401A" w:rsidRDefault="00237E44" w:rsidP="00CF05D4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>
              <w:t>1358</w:t>
            </w:r>
          </w:p>
        </w:tc>
        <w:tc>
          <w:tcPr>
            <w:tcW w:w="951" w:type="dxa"/>
          </w:tcPr>
          <w:p w14:paraId="0BD9F3D4" w14:textId="61589E11" w:rsidR="0089401A" w:rsidRDefault="00237E44" w:rsidP="00CF05D4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</w:tr>
    </w:tbl>
    <w:p w14:paraId="2451E862" w14:textId="77777777" w:rsidR="004E6632" w:rsidRDefault="004E6632"/>
    <w:p w14:paraId="7FF4EE93" w14:textId="65EAC410" w:rsidR="00237E44" w:rsidRDefault="00237E44">
      <w:r>
        <w:t>*Not categorized prior to 2019.</w:t>
      </w:r>
    </w:p>
    <w:sectPr w:rsidR="00237E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632"/>
    <w:rsid w:val="00097E4C"/>
    <w:rsid w:val="00237E44"/>
    <w:rsid w:val="00356061"/>
    <w:rsid w:val="004E6632"/>
    <w:rsid w:val="0089401A"/>
    <w:rsid w:val="00942D45"/>
    <w:rsid w:val="00957F1A"/>
    <w:rsid w:val="00CF05D4"/>
    <w:rsid w:val="00D6580C"/>
    <w:rsid w:val="00F5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73BAA"/>
  <w15:chartTrackingRefBased/>
  <w15:docId w15:val="{5B518BA0-0D05-4E59-976A-5A05900DC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6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89401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Morris</dc:creator>
  <cp:keywords/>
  <dc:description/>
  <cp:lastModifiedBy>Hulse, Daphne Lauren</cp:lastModifiedBy>
  <cp:revision>2</cp:revision>
  <dcterms:created xsi:type="dcterms:W3CDTF">2023-08-24T13:58:00Z</dcterms:created>
  <dcterms:modified xsi:type="dcterms:W3CDTF">2023-08-24T13:58:00Z</dcterms:modified>
</cp:coreProperties>
</file>