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5CED1C10"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E22794">
        <w:t>Campus contributions for Dump and Run</w:t>
      </w:r>
    </w:p>
    <w:p w14:paraId="5D1DE41F" w14:textId="4DF72524" w:rsidR="002E5AB5" w:rsidRPr="002E5AB5" w:rsidRDefault="00D10E51" w:rsidP="00E4055F">
      <w:r>
        <w:rPr>
          <w:b/>
        </w:rPr>
        <w:t>Total Amount Requested from SSC:</w:t>
      </w:r>
      <w:r w:rsidR="002E5AB5">
        <w:t xml:space="preserve"> </w:t>
      </w:r>
      <w:r w:rsidR="004A3BDB">
        <w:t>$</w:t>
      </w:r>
      <w:r w:rsidR="004E26B3">
        <w:t>22</w:t>
      </w:r>
      <w:r w:rsidR="003F4B80">
        <w:t>,</w:t>
      </w:r>
      <w:r w:rsidR="004E26B3">
        <w:t>84</w:t>
      </w:r>
      <w:r w:rsidR="003F4B80">
        <w:t>0 ($</w:t>
      </w:r>
      <w:r w:rsidR="004E26B3">
        <w:t>11</w:t>
      </w:r>
      <w:r w:rsidR="003F4B80">
        <w:t>,</w:t>
      </w:r>
      <w:r w:rsidR="004E26B3">
        <w:t>42</w:t>
      </w:r>
      <w:r w:rsidR="003F4B80">
        <w:t>0 in FY ’20 and $</w:t>
      </w:r>
      <w:r w:rsidR="004E26B3">
        <w:t>11,42</w:t>
      </w:r>
      <w:r w:rsidR="003F4B80">
        <w:t>0 in FY ’21)</w:t>
      </w:r>
    </w:p>
    <w:p w14:paraId="7920B7A9" w14:textId="4EDAD0F2" w:rsidR="002A4D1F" w:rsidRDefault="002E5AB5" w:rsidP="00E4055F">
      <w:r>
        <w:rPr>
          <w:b/>
        </w:rPr>
        <w:t xml:space="preserve">Primary Project Leader Name &amp; Email: </w:t>
      </w:r>
      <w:r w:rsidR="00E22794">
        <w:t xml:space="preserve">Bryan Johnson, </w:t>
      </w:r>
      <w:hyperlink r:id="rId9" w:history="1">
        <w:r w:rsidR="004A3BDB" w:rsidRPr="00F9062F">
          <w:rPr>
            <w:rStyle w:val="Hyperlink"/>
          </w:rPr>
          <w:t>blj@illinois.edu</w:t>
        </w:r>
      </w:hyperlink>
      <w:r w:rsidR="004A3BDB">
        <w:t xml:space="preserve"> </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0BFBAC43" w:rsidR="007764F6" w:rsidRPr="00FD39D0" w:rsidRDefault="003D2228" w:rsidP="003D2228">
            <w:pPr>
              <w:rPr>
                <w:bCs/>
              </w:rPr>
            </w:pPr>
            <w:r>
              <w:rPr>
                <w:bCs/>
              </w:rPr>
              <w:t xml:space="preserve">Since 1995 University Housing operated a </w:t>
            </w:r>
            <w:r w:rsidRPr="003D2228">
              <w:rPr>
                <w:bCs/>
              </w:rPr>
              <w:t>salvage drive as a way for students to donate used furniture, clothing, appliances, canned and boxed foods, and electronics at the end of the semester</w:t>
            </w:r>
            <w:r w:rsidR="00FD39D0">
              <w:rPr>
                <w:bCs/>
              </w:rPr>
              <w:t xml:space="preserve">. In </w:t>
            </w:r>
            <w:r w:rsidR="00E22794">
              <w:rPr>
                <w:bCs/>
              </w:rPr>
              <w:t xml:space="preserve">2012, </w:t>
            </w:r>
            <w:r w:rsidR="00B40E42">
              <w:rPr>
                <w:bCs/>
              </w:rPr>
              <w:t xml:space="preserve">University </w:t>
            </w:r>
            <w:r w:rsidR="00E22794">
              <w:rPr>
                <w:bCs/>
              </w:rPr>
              <w:t xml:space="preserve">Housing collaborated with the University YMCA to coordinate this effort, and in spring 2019, at the request of Chancellor Jones and the University YMCA Board, </w:t>
            </w:r>
            <w:r w:rsidR="00B40E42">
              <w:rPr>
                <w:bCs/>
              </w:rPr>
              <w:t xml:space="preserve">University </w:t>
            </w:r>
            <w:r w:rsidR="00E22794">
              <w:rPr>
                <w:bCs/>
              </w:rPr>
              <w:t>Housing and Facilities &amp; Services contributed drivers and trucks to assist with collections. This</w:t>
            </w:r>
            <w:bookmarkStart w:id="0" w:name="_GoBack"/>
            <w:bookmarkEnd w:id="0"/>
            <w:r w:rsidR="00E22794">
              <w:rPr>
                <w:bCs/>
              </w:rPr>
              <w:t xml:space="preserve"> year, we are working toward a standing commitment from campus to support Dump and Run and are </w:t>
            </w:r>
            <w:r w:rsidR="00B40E42">
              <w:rPr>
                <w:bCs/>
              </w:rPr>
              <w:t>working</w:t>
            </w:r>
            <w:r w:rsidR="00E22794">
              <w:rPr>
                <w:bCs/>
              </w:rPr>
              <w:t xml:space="preserve"> with the Office of the Chancellor about potential expansion into the wider community. </w:t>
            </w:r>
            <w:r w:rsidR="00FD39D0">
              <w:rPr>
                <w:bCs/>
              </w:rPr>
              <w:t xml:space="preserve">We are seeking SSC support for the next two years for the basic services campus provides, while we </w:t>
            </w:r>
            <w:r w:rsidR="00E22794">
              <w:rPr>
                <w:bCs/>
              </w:rPr>
              <w:t xml:space="preserve">identify </w:t>
            </w:r>
            <w:r w:rsidR="00FD39D0">
              <w:rPr>
                <w:bCs/>
              </w:rPr>
              <w:t>a</w:t>
            </w:r>
            <w:r w:rsidR="00E22794">
              <w:rPr>
                <w:bCs/>
              </w:rPr>
              <w:t xml:space="preserve"> long-term strategy for </w:t>
            </w:r>
            <w:r w:rsidR="00FD39D0">
              <w:rPr>
                <w:bCs/>
              </w:rPr>
              <w:t>a</w:t>
            </w:r>
            <w:r w:rsidR="00E22794">
              <w:rPr>
                <w:bCs/>
              </w:rPr>
              <w:t xml:space="preserve"> community-based program.</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110575CF" w:rsidR="00D10E51" w:rsidRDefault="00D10E51" w:rsidP="009419DD">
            <w:pPr>
              <w:jc w:val="center"/>
              <w:cnfStyle w:val="000000100000" w:firstRow="0" w:lastRow="0" w:firstColumn="0" w:lastColumn="0" w:oddVBand="0" w:evenVBand="0" w:oddHBand="1" w:evenHBand="0" w:firstRowFirstColumn="0" w:firstRowLastColumn="0" w:lastRowFirstColumn="0" w:lastRowLastColumn="0"/>
            </w:pPr>
          </w:p>
        </w:tc>
        <w:tc>
          <w:tcPr>
            <w:tcW w:w="1798" w:type="dxa"/>
          </w:tcPr>
          <w:p w14:paraId="27E2967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8" w:type="dxa"/>
          </w:tcPr>
          <w:p w14:paraId="3AB3BDFB" w14:textId="04873657" w:rsidR="00D10E51" w:rsidRDefault="009419DD" w:rsidP="009419DD">
            <w:pPr>
              <w:jc w:val="cente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1C8C2319" w14:textId="2716C1CD" w:rsidR="00D10E51" w:rsidRDefault="00D10E51" w:rsidP="009419DD">
            <w:pPr>
              <w:jc w:val="center"/>
              <w:cnfStyle w:val="000000100000" w:firstRow="0" w:lastRow="0" w:firstColumn="0" w:lastColumn="0" w:oddVBand="0" w:evenVBand="0" w:oddHBand="1" w:evenHBand="0" w:firstRowFirstColumn="0" w:firstRowLastColumn="0" w:lastRowFirstColumn="0" w:lastRowLastColumn="0"/>
            </w:pPr>
          </w:p>
        </w:tc>
        <w:tc>
          <w:tcPr>
            <w:tcW w:w="1799" w:type="dxa"/>
          </w:tcPr>
          <w:p w14:paraId="472B328D"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5B0EAA"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4B7B4F3D" w:rsidR="005B0EAA" w:rsidRDefault="005B0EAA" w:rsidP="005B0EAA">
            <w:r>
              <w:t>Marc Alexander</w:t>
            </w:r>
          </w:p>
        </w:tc>
        <w:tc>
          <w:tcPr>
            <w:tcW w:w="3597" w:type="dxa"/>
          </w:tcPr>
          <w:p w14:paraId="5C12C619" w14:textId="549BC514" w:rsidR="005B0EAA" w:rsidRDefault="005B0EAA" w:rsidP="005B0EAA">
            <w:pPr>
              <w:cnfStyle w:val="000000100000" w:firstRow="0" w:lastRow="0" w:firstColumn="0" w:lastColumn="0" w:oddVBand="0" w:evenVBand="0" w:oddHBand="1" w:evenHBand="0" w:firstRowFirstColumn="0" w:firstRowLastColumn="0" w:lastRowFirstColumn="0" w:lastRowLastColumn="0"/>
            </w:pPr>
            <w:r>
              <w:t>University YMCA</w:t>
            </w:r>
          </w:p>
        </w:tc>
        <w:tc>
          <w:tcPr>
            <w:tcW w:w="3597" w:type="dxa"/>
          </w:tcPr>
          <w:p w14:paraId="574699A7" w14:textId="76E47C02" w:rsidR="005B0EAA" w:rsidRDefault="00FD39D0" w:rsidP="005B0EAA">
            <w:pPr>
              <w:cnfStyle w:val="000000100000" w:firstRow="0" w:lastRow="0" w:firstColumn="0" w:lastColumn="0" w:oddVBand="0" w:evenVBand="0" w:oddHBand="1" w:evenHBand="0" w:firstRowFirstColumn="0" w:firstRowLastColumn="0" w:lastRowFirstColumn="0" w:lastRowLastColumn="0"/>
            </w:pPr>
            <w:hyperlink r:id="rId10" w:history="1">
              <w:r w:rsidR="005B0EAA" w:rsidRPr="00EE5F42">
                <w:rPr>
                  <w:rStyle w:val="Hyperlink"/>
                </w:rPr>
                <w:t>marc@universityymca.org</w:t>
              </w:r>
            </w:hyperlink>
          </w:p>
        </w:tc>
      </w:tr>
      <w:tr w:rsidR="005B0EAA"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6158CE44" w:rsidR="005B0EAA" w:rsidRDefault="005B0EAA" w:rsidP="005B0EAA">
            <w:r>
              <w:t>David Arnold</w:t>
            </w:r>
          </w:p>
        </w:tc>
        <w:tc>
          <w:tcPr>
            <w:tcW w:w="3597" w:type="dxa"/>
          </w:tcPr>
          <w:p w14:paraId="210090E7" w14:textId="26EDF4C6" w:rsidR="005B0EAA" w:rsidRDefault="005B0EAA" w:rsidP="005B0EAA">
            <w:pPr>
              <w:cnfStyle w:val="000000000000" w:firstRow="0" w:lastRow="0" w:firstColumn="0" w:lastColumn="0" w:oddVBand="0" w:evenVBand="0" w:oddHBand="0" w:evenHBand="0" w:firstRowFirstColumn="0" w:firstRowLastColumn="0" w:lastRowFirstColumn="0" w:lastRowLastColumn="0"/>
            </w:pPr>
            <w:r>
              <w:t>University Housing</w:t>
            </w:r>
          </w:p>
        </w:tc>
        <w:tc>
          <w:tcPr>
            <w:tcW w:w="3597" w:type="dxa"/>
          </w:tcPr>
          <w:p w14:paraId="2DC3BB9F" w14:textId="11D42341" w:rsidR="005B0EAA" w:rsidRDefault="00FD39D0" w:rsidP="005B0EAA">
            <w:pPr>
              <w:cnfStyle w:val="000000000000" w:firstRow="0" w:lastRow="0" w:firstColumn="0" w:lastColumn="0" w:oddVBand="0" w:evenVBand="0" w:oddHBand="0" w:evenHBand="0" w:firstRowFirstColumn="0" w:firstRowLastColumn="0" w:lastRowFirstColumn="0" w:lastRowLastColumn="0"/>
            </w:pPr>
            <w:hyperlink r:id="rId11" w:history="1">
              <w:r w:rsidR="005B0EAA" w:rsidRPr="00EE5F42">
                <w:rPr>
                  <w:rStyle w:val="Hyperlink"/>
                </w:rPr>
                <w:t>Darnold3@illinois.edu</w:t>
              </w:r>
            </w:hyperlink>
          </w:p>
        </w:tc>
      </w:tr>
      <w:tr w:rsidR="00B40E42"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3F4F3B1C" w:rsidR="00B40E42" w:rsidRDefault="00B40E42" w:rsidP="00B40E42">
            <w:r>
              <w:t>Bob Flider</w:t>
            </w:r>
          </w:p>
        </w:tc>
        <w:tc>
          <w:tcPr>
            <w:tcW w:w="3597" w:type="dxa"/>
          </w:tcPr>
          <w:p w14:paraId="55AAF18A" w14:textId="5D9B69ED" w:rsidR="00B40E42" w:rsidRDefault="00B40E42" w:rsidP="00B40E42">
            <w:pPr>
              <w:cnfStyle w:val="000000100000" w:firstRow="0" w:lastRow="0" w:firstColumn="0" w:lastColumn="0" w:oddVBand="0" w:evenVBand="0" w:oddHBand="1" w:evenHBand="0" w:firstRowFirstColumn="0" w:firstRowLastColumn="0" w:lastRowFirstColumn="0" w:lastRowLastColumn="0"/>
            </w:pPr>
            <w:r>
              <w:t>Chancellor’s office</w:t>
            </w:r>
          </w:p>
        </w:tc>
        <w:tc>
          <w:tcPr>
            <w:tcW w:w="3597" w:type="dxa"/>
          </w:tcPr>
          <w:p w14:paraId="1A01284E" w14:textId="2E3B9140" w:rsidR="00B40E42" w:rsidRDefault="00FD39D0" w:rsidP="00B40E42">
            <w:pPr>
              <w:cnfStyle w:val="000000100000" w:firstRow="0" w:lastRow="0" w:firstColumn="0" w:lastColumn="0" w:oddVBand="0" w:evenVBand="0" w:oddHBand="1" w:evenHBand="0" w:firstRowFirstColumn="0" w:firstRowLastColumn="0" w:lastRowFirstColumn="0" w:lastRowLastColumn="0"/>
            </w:pPr>
            <w:hyperlink r:id="rId12" w:history="1">
              <w:r w:rsidR="00B40E42" w:rsidRPr="004F2739">
                <w:rPr>
                  <w:rStyle w:val="Hyperlink"/>
                </w:rPr>
                <w:t>rfflder@illinois.edu</w:t>
              </w:r>
            </w:hyperlink>
            <w:r w:rsidR="00B40E42">
              <w:t xml:space="preserve"> </w:t>
            </w:r>
          </w:p>
        </w:tc>
      </w:tr>
      <w:tr w:rsidR="00B40E42"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4F90B0F1" w:rsidR="00B40E42" w:rsidRDefault="00B40E42" w:rsidP="00B40E42">
            <w:r>
              <w:t>Joe Glass</w:t>
            </w:r>
          </w:p>
        </w:tc>
        <w:tc>
          <w:tcPr>
            <w:tcW w:w="3597" w:type="dxa"/>
          </w:tcPr>
          <w:p w14:paraId="78B900C6" w14:textId="7CE0EF54" w:rsidR="00B40E42" w:rsidRDefault="00B40E42" w:rsidP="00B40E42">
            <w:pPr>
              <w:cnfStyle w:val="000000000000" w:firstRow="0" w:lastRow="0" w:firstColumn="0" w:lastColumn="0" w:oddVBand="0" w:evenVBand="0" w:oddHBand="0" w:evenHBand="0" w:firstRowFirstColumn="0" w:firstRowLastColumn="0" w:lastRowFirstColumn="0" w:lastRowLastColumn="0"/>
            </w:pPr>
            <w:r>
              <w:t>University Housing</w:t>
            </w:r>
          </w:p>
        </w:tc>
        <w:tc>
          <w:tcPr>
            <w:tcW w:w="3597" w:type="dxa"/>
          </w:tcPr>
          <w:p w14:paraId="6C5FAA2E" w14:textId="5C4A6B4A" w:rsidR="00B40E42" w:rsidRDefault="00FD39D0" w:rsidP="00B40E42">
            <w:pPr>
              <w:cnfStyle w:val="000000000000" w:firstRow="0" w:lastRow="0" w:firstColumn="0" w:lastColumn="0" w:oddVBand="0" w:evenVBand="0" w:oddHBand="0" w:evenHBand="0" w:firstRowFirstColumn="0" w:firstRowLastColumn="0" w:lastRowFirstColumn="0" w:lastRowLastColumn="0"/>
            </w:pPr>
            <w:hyperlink r:id="rId13" w:history="1">
              <w:r w:rsidR="00B40E42" w:rsidRPr="00EE5F42">
                <w:rPr>
                  <w:rStyle w:val="Hyperlink"/>
                </w:rPr>
                <w:t>jwglass@illinois.edu</w:t>
              </w:r>
            </w:hyperlink>
            <w:r w:rsidR="00B40E42">
              <w:t xml:space="preserve"> </w:t>
            </w:r>
          </w:p>
        </w:tc>
      </w:tr>
      <w:tr w:rsidR="00B40E42"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2E02E6CD" w:rsidR="00B40E42" w:rsidRDefault="00B40E42" w:rsidP="00B40E42">
            <w:r>
              <w:t>Bryan Johnson</w:t>
            </w:r>
          </w:p>
        </w:tc>
        <w:tc>
          <w:tcPr>
            <w:tcW w:w="3597" w:type="dxa"/>
          </w:tcPr>
          <w:p w14:paraId="43154CC1" w14:textId="405D160C" w:rsidR="00B40E42" w:rsidRDefault="00B40E42" w:rsidP="00B40E42">
            <w:pPr>
              <w:cnfStyle w:val="000000100000" w:firstRow="0" w:lastRow="0" w:firstColumn="0" w:lastColumn="0" w:oddVBand="0" w:evenVBand="0" w:oddHBand="1" w:evenHBand="0" w:firstRowFirstColumn="0" w:firstRowLastColumn="0" w:lastRowFirstColumn="0" w:lastRowLastColumn="0"/>
            </w:pPr>
            <w:r>
              <w:t>University Housing</w:t>
            </w:r>
          </w:p>
        </w:tc>
        <w:tc>
          <w:tcPr>
            <w:tcW w:w="3597" w:type="dxa"/>
          </w:tcPr>
          <w:p w14:paraId="232E5EF5" w14:textId="4E23A074" w:rsidR="00B40E42" w:rsidRDefault="00FD39D0" w:rsidP="00B40E42">
            <w:pPr>
              <w:cnfStyle w:val="000000100000" w:firstRow="0" w:lastRow="0" w:firstColumn="0" w:lastColumn="0" w:oddVBand="0" w:evenVBand="0" w:oddHBand="1" w:evenHBand="0" w:firstRowFirstColumn="0" w:firstRowLastColumn="0" w:lastRowFirstColumn="0" w:lastRowLastColumn="0"/>
            </w:pPr>
            <w:hyperlink r:id="rId14" w:history="1">
              <w:r w:rsidR="00B40E42" w:rsidRPr="00EE5F42">
                <w:rPr>
                  <w:rStyle w:val="Hyperlink"/>
                </w:rPr>
                <w:t>blj@illinois.edu</w:t>
              </w:r>
            </w:hyperlink>
            <w:r w:rsidR="00B40E42">
              <w:t xml:space="preserve"> </w:t>
            </w:r>
          </w:p>
        </w:tc>
      </w:tr>
      <w:tr w:rsidR="00B40E42"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47CF50AA" w:rsidR="00B40E42" w:rsidRDefault="00B40E42" w:rsidP="00B40E42">
            <w:r>
              <w:t>Lowa Mwilambwe</w:t>
            </w:r>
          </w:p>
        </w:tc>
        <w:tc>
          <w:tcPr>
            <w:tcW w:w="3597" w:type="dxa"/>
          </w:tcPr>
          <w:p w14:paraId="6ACB3D41" w14:textId="77567161" w:rsidR="00B40E42" w:rsidRDefault="00B40E42" w:rsidP="00B40E42">
            <w:pPr>
              <w:cnfStyle w:val="000000000000" w:firstRow="0" w:lastRow="0" w:firstColumn="0" w:lastColumn="0" w:oddVBand="0" w:evenVBand="0" w:oddHBand="0" w:evenHBand="0" w:firstRowFirstColumn="0" w:firstRowLastColumn="0" w:lastRowFirstColumn="0" w:lastRowLastColumn="0"/>
            </w:pPr>
            <w:r>
              <w:t>Student Affairs</w:t>
            </w:r>
          </w:p>
        </w:tc>
        <w:tc>
          <w:tcPr>
            <w:tcW w:w="3597" w:type="dxa"/>
          </w:tcPr>
          <w:p w14:paraId="11F9CC25" w14:textId="4A489E75" w:rsidR="00B40E42" w:rsidRDefault="00FD39D0" w:rsidP="00B40E42">
            <w:pPr>
              <w:cnfStyle w:val="000000000000" w:firstRow="0" w:lastRow="0" w:firstColumn="0" w:lastColumn="0" w:oddVBand="0" w:evenVBand="0" w:oddHBand="0" w:evenHBand="0" w:firstRowFirstColumn="0" w:firstRowLastColumn="0" w:lastRowFirstColumn="0" w:lastRowLastColumn="0"/>
            </w:pPr>
            <w:hyperlink r:id="rId15" w:history="1">
              <w:r w:rsidR="00B40E42" w:rsidRPr="004F2739">
                <w:rPr>
                  <w:rStyle w:val="Hyperlink"/>
                </w:rPr>
                <w:t>lmwilamb@illinois.edu</w:t>
              </w:r>
            </w:hyperlink>
            <w:r w:rsidR="00B40E42">
              <w:t xml:space="preserve"> </w:t>
            </w:r>
          </w:p>
        </w:tc>
      </w:tr>
      <w:tr w:rsidR="00B40E42" w14:paraId="002BBBD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41F0CFA8" w14:textId="4B7713E8" w:rsidR="00B40E42" w:rsidRDefault="00B40E42" w:rsidP="00B40E42">
            <w:r>
              <w:t>Trey Price</w:t>
            </w:r>
          </w:p>
        </w:tc>
        <w:tc>
          <w:tcPr>
            <w:tcW w:w="3597" w:type="dxa"/>
          </w:tcPr>
          <w:p w14:paraId="4E5B47A8" w14:textId="32439B13" w:rsidR="00B40E42" w:rsidRDefault="00B40E42" w:rsidP="00B40E42">
            <w:pPr>
              <w:cnfStyle w:val="000000100000" w:firstRow="0" w:lastRow="0" w:firstColumn="0" w:lastColumn="0" w:oddVBand="0" w:evenVBand="0" w:oddHBand="1" w:evenHBand="0" w:firstRowFirstColumn="0" w:firstRowLastColumn="0" w:lastRowFirstColumn="0" w:lastRowLastColumn="0"/>
            </w:pPr>
            <w:r>
              <w:t>Chancellor’s office</w:t>
            </w:r>
          </w:p>
        </w:tc>
        <w:tc>
          <w:tcPr>
            <w:tcW w:w="3597" w:type="dxa"/>
          </w:tcPr>
          <w:p w14:paraId="1ED8D9E4" w14:textId="66A1020A" w:rsidR="00B40E42" w:rsidRDefault="00FD39D0" w:rsidP="00B40E42">
            <w:pPr>
              <w:cnfStyle w:val="000000100000" w:firstRow="0" w:lastRow="0" w:firstColumn="0" w:lastColumn="0" w:oddVBand="0" w:evenVBand="0" w:oddHBand="1" w:evenHBand="0" w:firstRowFirstColumn="0" w:firstRowLastColumn="0" w:lastRowFirstColumn="0" w:lastRowLastColumn="0"/>
            </w:pPr>
            <w:hyperlink r:id="rId16" w:history="1">
              <w:r w:rsidR="00B40E42" w:rsidRPr="004F2739">
                <w:rPr>
                  <w:rStyle w:val="Hyperlink"/>
                </w:rPr>
                <w:t>tremayne@uillinois.edu</w:t>
              </w:r>
            </w:hyperlink>
            <w:r w:rsidR="00B40E42">
              <w:t xml:space="preserve"> </w:t>
            </w:r>
          </w:p>
        </w:tc>
      </w:tr>
      <w:tr w:rsidR="00B40E42" w14:paraId="6F5E1E03"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2D6C5B61" w14:textId="49D8272D" w:rsidR="00B40E42" w:rsidRDefault="00B40E42" w:rsidP="00B40E42">
            <w:r>
              <w:t>Del Reifsteck</w:t>
            </w:r>
          </w:p>
        </w:tc>
        <w:tc>
          <w:tcPr>
            <w:tcW w:w="3597" w:type="dxa"/>
          </w:tcPr>
          <w:p w14:paraId="30FA55AE" w14:textId="0463D89F" w:rsidR="00B40E42" w:rsidRDefault="00B40E42" w:rsidP="00B40E42">
            <w:pPr>
              <w:cnfStyle w:val="000000000000" w:firstRow="0" w:lastRow="0" w:firstColumn="0" w:lastColumn="0" w:oddVBand="0" w:evenVBand="0" w:oddHBand="0" w:evenHBand="0" w:firstRowFirstColumn="0" w:firstRowLastColumn="0" w:lastRowFirstColumn="0" w:lastRowLastColumn="0"/>
            </w:pPr>
            <w:r>
              <w:t>University Housing</w:t>
            </w:r>
          </w:p>
        </w:tc>
        <w:tc>
          <w:tcPr>
            <w:tcW w:w="3597" w:type="dxa"/>
          </w:tcPr>
          <w:p w14:paraId="0EB5CBF5" w14:textId="0579F520" w:rsidR="00B40E42" w:rsidRDefault="00FD39D0" w:rsidP="00B40E42">
            <w:pPr>
              <w:cnfStyle w:val="000000000000" w:firstRow="0" w:lastRow="0" w:firstColumn="0" w:lastColumn="0" w:oddVBand="0" w:evenVBand="0" w:oddHBand="0" w:evenHBand="0" w:firstRowFirstColumn="0" w:firstRowLastColumn="0" w:lastRowFirstColumn="0" w:lastRowLastColumn="0"/>
            </w:pPr>
            <w:hyperlink r:id="rId17" w:history="1">
              <w:r w:rsidR="00B40E42" w:rsidRPr="00EE5F42">
                <w:rPr>
                  <w:rStyle w:val="Hyperlink"/>
                </w:rPr>
                <w:t>refstck@illinois.edu</w:t>
              </w:r>
            </w:hyperlink>
            <w:r w:rsidR="00B40E42">
              <w:t xml:space="preserve"> </w:t>
            </w:r>
          </w:p>
        </w:tc>
      </w:tr>
      <w:tr w:rsidR="00B40E42" w14:paraId="67FE732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BEA5B8C" w14:textId="32BD8A4B" w:rsidR="00B40E42" w:rsidRDefault="00B40E42" w:rsidP="00B40E42">
            <w:r>
              <w:t>Alma Sealine</w:t>
            </w:r>
          </w:p>
        </w:tc>
        <w:tc>
          <w:tcPr>
            <w:tcW w:w="3597" w:type="dxa"/>
          </w:tcPr>
          <w:p w14:paraId="48C70365" w14:textId="2C6F2588" w:rsidR="00B40E42" w:rsidRDefault="00B40E42" w:rsidP="00B40E42">
            <w:pPr>
              <w:cnfStyle w:val="000000100000" w:firstRow="0" w:lastRow="0" w:firstColumn="0" w:lastColumn="0" w:oddVBand="0" w:evenVBand="0" w:oddHBand="1" w:evenHBand="0" w:firstRowFirstColumn="0" w:firstRowLastColumn="0" w:lastRowFirstColumn="0" w:lastRowLastColumn="0"/>
            </w:pPr>
            <w:r>
              <w:t>University Housing</w:t>
            </w:r>
          </w:p>
        </w:tc>
        <w:tc>
          <w:tcPr>
            <w:tcW w:w="3597" w:type="dxa"/>
          </w:tcPr>
          <w:p w14:paraId="15DA04FF" w14:textId="3EFF946B" w:rsidR="00B40E42" w:rsidRDefault="00FD39D0" w:rsidP="00B40E42">
            <w:pPr>
              <w:cnfStyle w:val="000000100000" w:firstRow="0" w:lastRow="0" w:firstColumn="0" w:lastColumn="0" w:oddVBand="0" w:evenVBand="0" w:oddHBand="1" w:evenHBand="0" w:firstRowFirstColumn="0" w:firstRowLastColumn="0" w:lastRowFirstColumn="0" w:lastRowLastColumn="0"/>
            </w:pPr>
            <w:hyperlink r:id="rId18" w:history="1">
              <w:r w:rsidR="00B40E42" w:rsidRPr="00EE5F42">
                <w:rPr>
                  <w:rStyle w:val="Hyperlink"/>
                </w:rPr>
                <w:t>acsealine@illinois.edu</w:t>
              </w:r>
            </w:hyperlink>
            <w:r w:rsidR="00B40E42">
              <w:t xml:space="preserve"> </w:t>
            </w:r>
          </w:p>
        </w:tc>
      </w:tr>
      <w:tr w:rsidR="00B40E42" w14:paraId="788DA82C"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2F893610" w14:textId="6DEDA7AF" w:rsidR="00B40E42" w:rsidRDefault="00B40E42" w:rsidP="00B40E42">
            <w:r>
              <w:t>Morgan White</w:t>
            </w:r>
          </w:p>
        </w:tc>
        <w:tc>
          <w:tcPr>
            <w:tcW w:w="3597" w:type="dxa"/>
          </w:tcPr>
          <w:p w14:paraId="3DEBD290" w14:textId="5146C41B" w:rsidR="00B40E42" w:rsidRDefault="00B40E42" w:rsidP="00B40E42">
            <w:pPr>
              <w:cnfStyle w:val="000000000000" w:firstRow="0" w:lastRow="0" w:firstColumn="0" w:lastColumn="0" w:oddVBand="0" w:evenVBand="0" w:oddHBand="0" w:evenHBand="0" w:firstRowFirstColumn="0" w:firstRowLastColumn="0" w:lastRowFirstColumn="0" w:lastRowLastColumn="0"/>
            </w:pPr>
            <w:r>
              <w:t>Facilities and Services</w:t>
            </w:r>
          </w:p>
        </w:tc>
        <w:tc>
          <w:tcPr>
            <w:tcW w:w="3597" w:type="dxa"/>
          </w:tcPr>
          <w:p w14:paraId="1AF9B47C" w14:textId="22DE306E" w:rsidR="00B40E42" w:rsidRDefault="00FD39D0" w:rsidP="00B40E42">
            <w:pPr>
              <w:cnfStyle w:val="000000000000" w:firstRow="0" w:lastRow="0" w:firstColumn="0" w:lastColumn="0" w:oddVBand="0" w:evenVBand="0" w:oddHBand="0" w:evenHBand="0" w:firstRowFirstColumn="0" w:firstRowLastColumn="0" w:lastRowFirstColumn="0" w:lastRowLastColumn="0"/>
            </w:pPr>
            <w:hyperlink r:id="rId19" w:history="1">
              <w:r w:rsidR="00B40E42" w:rsidRPr="00EE5F42">
                <w:rPr>
                  <w:rStyle w:val="Hyperlink"/>
                </w:rPr>
                <w:t>mbwhite@illinois.edu</w:t>
              </w:r>
            </w:hyperlink>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517E94CD" w:rsidR="00674803" w:rsidRDefault="009419DD" w:rsidP="009419DD">
            <w:pPr>
              <w:jc w:val="cente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4FA59E30" w:rsidR="00674803" w:rsidRDefault="009419DD" w:rsidP="009419DD">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3D8E1FB9" w:rsidR="00674803" w:rsidRDefault="00674803" w:rsidP="004A70C7">
            <w:pPr>
              <w:jc w:val="center"/>
              <w:cnfStyle w:val="000000100000" w:firstRow="0" w:lastRow="0" w:firstColumn="0" w:lastColumn="0" w:oddVBand="0" w:evenVBand="0" w:oddHBand="1" w:evenHBand="0" w:firstRowFirstColumn="0" w:firstRowLastColumn="0" w:lastRowFirstColumn="0" w:lastRowLastColumn="0"/>
            </w:pPr>
          </w:p>
        </w:tc>
        <w:tc>
          <w:tcPr>
            <w:tcW w:w="805" w:type="dxa"/>
          </w:tcPr>
          <w:p w14:paraId="4AE33F9A" w14:textId="1953C15E" w:rsidR="00674803" w:rsidRDefault="00E22794" w:rsidP="00BD3B79">
            <w:pPr>
              <w:jc w:val="center"/>
              <w:cnfStyle w:val="000000100000" w:firstRow="0" w:lastRow="0" w:firstColumn="0" w:lastColumn="0" w:oddVBand="0" w:evenVBand="0" w:oddHBand="1" w:evenHBand="0" w:firstRowFirstColumn="0" w:firstRowLastColumn="0" w:lastRowFirstColumn="0" w:lastRowLastColumn="0"/>
            </w:pPr>
            <w:r>
              <w:t>X</w:t>
            </w: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70C07992" w:rsidR="00674803" w:rsidRDefault="00382660" w:rsidP="00382660">
            <w:pPr>
              <w:jc w:val="cente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5B703E3E" w:rsidR="00674803" w:rsidRDefault="00382660" w:rsidP="00382660">
            <w:pPr>
              <w:jc w:val="cente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298BA782" w:rsidR="007764F6" w:rsidRDefault="007764F6" w:rsidP="000D00AC"/>
    <w:p w14:paraId="6DA5FB45" w14:textId="77777777" w:rsidR="00B632D3" w:rsidRPr="00D10E51" w:rsidRDefault="00B632D3"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p w14:paraId="17696AFD" w14:textId="3911D4C4" w:rsidR="00A90FF1" w:rsidRPr="00382660" w:rsidRDefault="00A90FF1" w:rsidP="00382660">
            <w:pPr>
              <w:pStyle w:val="ListParagraph"/>
              <w:numPr>
                <w:ilvl w:val="1"/>
                <w:numId w:val="9"/>
              </w:numPr>
              <w:ind w:left="345"/>
              <w:rPr>
                <w:bCs/>
              </w:rPr>
            </w:pPr>
            <w:r w:rsidRPr="00382660">
              <w:rPr>
                <w:bCs/>
              </w:rPr>
              <w:lastRenderedPageBreak/>
              <w:t>Collection b</w:t>
            </w:r>
            <w:r w:rsidR="001E09AC" w:rsidRPr="00382660">
              <w:rPr>
                <w:bCs/>
              </w:rPr>
              <w:t>i</w:t>
            </w:r>
            <w:r w:rsidRPr="00382660">
              <w:rPr>
                <w:bCs/>
              </w:rPr>
              <w:t xml:space="preserve">ns are placed in </w:t>
            </w:r>
            <w:r w:rsidR="00382660" w:rsidRPr="00382660">
              <w:rPr>
                <w:bCs/>
              </w:rPr>
              <w:t xml:space="preserve">University Housing </w:t>
            </w:r>
            <w:r w:rsidRPr="00382660">
              <w:rPr>
                <w:bCs/>
              </w:rPr>
              <w:t xml:space="preserve">residence halls on Monday, May 11, 2020. </w:t>
            </w:r>
          </w:p>
          <w:p w14:paraId="523C5307" w14:textId="45BB12E0" w:rsidR="00A90FF1" w:rsidRPr="001E09AC" w:rsidRDefault="00A90FF1" w:rsidP="00382660">
            <w:pPr>
              <w:pStyle w:val="ListParagraph"/>
              <w:numPr>
                <w:ilvl w:val="1"/>
                <w:numId w:val="9"/>
              </w:numPr>
              <w:ind w:left="345"/>
              <w:rPr>
                <w:bCs/>
              </w:rPr>
            </w:pPr>
            <w:r w:rsidRPr="001E09AC">
              <w:rPr>
                <w:bCs/>
              </w:rPr>
              <w:t>Pick-up of donated items begins on We</w:t>
            </w:r>
            <w:r w:rsidR="009419DD" w:rsidRPr="001E09AC">
              <w:rPr>
                <w:bCs/>
              </w:rPr>
              <w:t>dnesday, May 13, 2020</w:t>
            </w:r>
            <w:r w:rsidRPr="001E09AC">
              <w:rPr>
                <w:bCs/>
              </w:rPr>
              <w:t xml:space="preserve"> and runs throughout the remainder of the week. </w:t>
            </w:r>
          </w:p>
          <w:p w14:paraId="582D7C06" w14:textId="6F47A958" w:rsidR="007764F6" w:rsidRPr="001E09AC" w:rsidRDefault="00A90FF1" w:rsidP="00382660">
            <w:pPr>
              <w:pStyle w:val="ListParagraph"/>
              <w:numPr>
                <w:ilvl w:val="1"/>
                <w:numId w:val="9"/>
              </w:numPr>
              <w:ind w:left="345"/>
              <w:rPr>
                <w:bCs/>
              </w:rPr>
            </w:pPr>
            <w:r w:rsidRPr="001E09AC">
              <w:rPr>
                <w:bCs/>
              </w:rPr>
              <w:t xml:space="preserve">Collection of unwanted items concludes as each hall closes on </w:t>
            </w:r>
            <w:r w:rsidR="009419DD" w:rsidRPr="001E09AC">
              <w:rPr>
                <w:bCs/>
              </w:rPr>
              <w:t>Saturday, May 16, 2020</w:t>
            </w:r>
            <w:r w:rsidR="003D2228">
              <w:rPr>
                <w:bCs/>
              </w:rPr>
              <w:t xml:space="preserve"> or Sunday, May 17, 2020.</w:t>
            </w:r>
          </w:p>
          <w:p w14:paraId="17059809" w14:textId="77777777" w:rsidR="00A90FF1" w:rsidRDefault="00A90FF1" w:rsidP="00382660">
            <w:pPr>
              <w:pStyle w:val="ListParagraph"/>
              <w:numPr>
                <w:ilvl w:val="1"/>
                <w:numId w:val="9"/>
              </w:numPr>
              <w:ind w:left="345"/>
              <w:rPr>
                <w:bCs/>
              </w:rPr>
            </w:pPr>
            <w:r w:rsidRPr="001E09AC">
              <w:rPr>
                <w:bCs/>
              </w:rPr>
              <w:t xml:space="preserve">Final pick-up of </w:t>
            </w:r>
            <w:r w:rsidR="00E22794">
              <w:rPr>
                <w:bCs/>
              </w:rPr>
              <w:t xml:space="preserve">spring 2020 </w:t>
            </w:r>
            <w:r w:rsidRPr="001E09AC">
              <w:rPr>
                <w:bCs/>
              </w:rPr>
              <w:t>donated items complete</w:t>
            </w:r>
            <w:r w:rsidR="00E22794">
              <w:rPr>
                <w:bCs/>
              </w:rPr>
              <w:t>d</w:t>
            </w:r>
            <w:r w:rsidRPr="001E09AC">
              <w:rPr>
                <w:bCs/>
              </w:rPr>
              <w:t xml:space="preserve"> on Monday, May 18, 2020.</w:t>
            </w:r>
          </w:p>
          <w:p w14:paraId="02DFECF8" w14:textId="51546800" w:rsidR="00E22794" w:rsidRPr="001E09AC" w:rsidRDefault="00E22794" w:rsidP="00382660">
            <w:pPr>
              <w:pStyle w:val="ListParagraph"/>
              <w:numPr>
                <w:ilvl w:val="1"/>
                <w:numId w:val="9"/>
              </w:numPr>
              <w:ind w:left="345"/>
              <w:rPr>
                <w:bCs/>
              </w:rPr>
            </w:pPr>
            <w:r>
              <w:rPr>
                <w:bCs/>
              </w:rPr>
              <w:t>Repeat for FY21</w:t>
            </w:r>
            <w:r w:rsidR="00BD3B79">
              <w:rPr>
                <w:bCs/>
              </w:rPr>
              <w:t>.</w:t>
            </w:r>
          </w:p>
        </w:tc>
      </w:tr>
    </w:tbl>
    <w:p w14:paraId="110E8913" w14:textId="13A56621" w:rsidR="006837AD" w:rsidRDefault="006837AD" w:rsidP="00E4055F"/>
    <w:p w14:paraId="4B4BAE5E" w14:textId="77777777" w:rsidR="00B632D3" w:rsidRDefault="00B632D3"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7DE672F6" w:rsidR="007764F6" w:rsidRPr="007764F6" w:rsidRDefault="007764F6" w:rsidP="00E4055F">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451D3595" w:rsidR="007764F6" w:rsidRDefault="00B632D3" w:rsidP="00E4055F">
            <w:r>
              <w:t>The annual salvage drive</w:t>
            </w:r>
            <w:r w:rsidR="00C66AED">
              <w:t xml:space="preserve"> event</w:t>
            </w:r>
            <w:r>
              <w:t xml:space="preserve">, now called Dump and Run, officially began in 1995 to divert the large amount of waste product being throw away by residents of University Housing residence halls at the end of the spring semester. Prior to the event, unwanted items were simply left behind by residents for University Housing staff </w:t>
            </w:r>
            <w:r w:rsidR="00BD3B79">
              <w:t xml:space="preserve">to </w:t>
            </w:r>
            <w:r>
              <w:t>manage</w:t>
            </w:r>
            <w:r w:rsidR="00C66AED">
              <w:t>. Given the large volume of product</w:t>
            </w:r>
            <w:r w:rsidR="00BD3B79">
              <w:t xml:space="preserve"> and the end of semester time constraints</w:t>
            </w:r>
            <w:r w:rsidR="00C66AED">
              <w:t xml:space="preserve">, the only viable option </w:t>
            </w:r>
            <w:r w:rsidR="00BD3B79">
              <w:t xml:space="preserve">at that time </w:t>
            </w:r>
            <w:r w:rsidR="00C66AED">
              <w:t xml:space="preserve">was to throw the items in the trash. Starting the </w:t>
            </w:r>
            <w:r w:rsidR="00BD3B79">
              <w:t xml:space="preserve">Dump and Run </w:t>
            </w:r>
            <w:r w:rsidR="00C66AED">
              <w:t>event not only lessened the burden on University Housing staff to remove the unwanted items from the halls, but it also lessened the amount of usable product unnecessarily going to the landfill, helped support local charities, and educated students on landfill alternatives.</w:t>
            </w:r>
            <w:r w:rsidR="00BD3B79">
              <w:t xml:space="preserve"> The reusable materials are sorted, priced, and then sold on campus during move-in week.</w:t>
            </w:r>
            <w:r w:rsidR="00C66AED">
              <w:t xml:space="preserve"> </w:t>
            </w:r>
            <w:r w:rsidR="005B0EAA">
              <w:t xml:space="preserve">The success of the program is apparent in the volume of product collected each year. </w:t>
            </w:r>
            <w:r w:rsidR="00BD3B79">
              <w:t xml:space="preserve"> </w:t>
            </w:r>
          </w:p>
        </w:tc>
      </w:tr>
    </w:tbl>
    <w:p w14:paraId="76E93985" w14:textId="316D36B3" w:rsidR="00D10E51" w:rsidRDefault="00D10E51" w:rsidP="00E4055F"/>
    <w:p w14:paraId="45D82FBE" w14:textId="77777777" w:rsidR="00B632D3" w:rsidRDefault="00B632D3"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17E58022" w14:textId="5E45C04B" w:rsidR="00335505" w:rsidRDefault="00382660" w:rsidP="00E4055F">
            <w:r>
              <w:t xml:space="preserve">The annual Dump and Run event </w:t>
            </w:r>
            <w:proofErr w:type="gramStart"/>
            <w:r w:rsidR="00A93A84">
              <w:t>supports</w:t>
            </w:r>
            <w:proofErr w:type="gramEnd"/>
            <w:r>
              <w:t xml:space="preserve"> the zero waste goals of the Illinois Climate Action Plan</w:t>
            </w:r>
            <w:r w:rsidR="00A93A84">
              <w:t xml:space="preserve"> (iCAP) by decreasing </w:t>
            </w:r>
            <w:r w:rsidR="00335505">
              <w:t xml:space="preserve">waste that ends up in landfills and educating students about sustainable practices. </w:t>
            </w:r>
            <w:r w:rsidR="00A93A84">
              <w:t xml:space="preserve">Annually the event collects approximately 30,000 pounds of product </w:t>
            </w:r>
            <w:r w:rsidR="003255E7">
              <w:t xml:space="preserve">from University Housing residence halls </w:t>
            </w:r>
            <w:r w:rsidR="00A93A84">
              <w:t xml:space="preserve">that </w:t>
            </w:r>
            <w:r w:rsidR="00786E46">
              <w:t>would</w:t>
            </w:r>
            <w:r w:rsidR="00A93A84">
              <w:t xml:space="preserve"> otherwise have gone to a landfill. </w:t>
            </w:r>
            <w:r w:rsidR="00BD3B79">
              <w:t xml:space="preserve">In spring 2019, three semi-trailers full of materials were collected then then sold on campus. </w:t>
            </w:r>
            <w:r w:rsidR="00877D71">
              <w:t>T</w:t>
            </w:r>
            <w:r w:rsidR="003255E7">
              <w:t xml:space="preserve">he event </w:t>
            </w:r>
            <w:r w:rsidR="00877D71">
              <w:t xml:space="preserve">provides an educational component by demonstrating to students </w:t>
            </w:r>
            <w:r w:rsidR="003255E7">
              <w:t xml:space="preserve">that alternative options are available that will avoid sending their unused </w:t>
            </w:r>
            <w:r w:rsidR="00877D71">
              <w:t>and</w:t>
            </w:r>
            <w:r w:rsidR="003255E7">
              <w:t xml:space="preserve"> unwanted products t</w:t>
            </w:r>
            <w:r w:rsidR="00877D71">
              <w:t xml:space="preserve">o </w:t>
            </w:r>
            <w:r w:rsidR="003255E7">
              <w:t>landfill</w:t>
            </w:r>
            <w:r w:rsidR="00877D71">
              <w:t>s</w:t>
            </w:r>
            <w:r w:rsidR="00BD3B79">
              <w:t xml:space="preserve">.  </w:t>
            </w:r>
          </w:p>
        </w:tc>
      </w:tr>
    </w:tbl>
    <w:p w14:paraId="7D3CA00C" w14:textId="11AC6724" w:rsidR="00D10E51" w:rsidRDefault="00D10E51" w:rsidP="00E4055F"/>
    <w:p w14:paraId="1DFD7EC3" w14:textId="77777777" w:rsidR="00B632D3" w:rsidRDefault="00B632D3"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4169ED4B" w14:textId="1160A1C9" w:rsidR="00BD3B79" w:rsidRDefault="00786E46" w:rsidP="00BD3B79">
            <w:r>
              <w:t xml:space="preserve">Although the </w:t>
            </w:r>
            <w:r w:rsidR="00877D71">
              <w:t xml:space="preserve">operation of the </w:t>
            </w:r>
            <w:r>
              <w:t>Dump and Run event is conducted through a partnership between University Housing and the University YMCA, the success of the event is</w:t>
            </w:r>
            <w:r w:rsidR="00877D71">
              <w:t xml:space="preserve"> only due to the participation of students across the University. Without students </w:t>
            </w:r>
            <w:r w:rsidR="00A20B14">
              <w:t xml:space="preserve">choosing </w:t>
            </w:r>
            <w:r w:rsidR="00877D71">
              <w:t xml:space="preserve">to </w:t>
            </w:r>
            <w:r w:rsidR="00A20B14">
              <w:t>donate product</w:t>
            </w:r>
            <w:r w:rsidR="00BD3B79">
              <w:t>s</w:t>
            </w:r>
            <w:r w:rsidR="00A20B14">
              <w:t xml:space="preserve">, the Dump and Run event would have ceased years ago. The University YMCA will also utilize student volunteers to collect product from the different collection sites across campus and sort through items at the main collection center. </w:t>
            </w:r>
            <w:r w:rsidR="00BD3B79">
              <w:t xml:space="preserve">Student volunteers are usually surprised by the waste that is being abandoned by their peers, and they can see how quality materials can be purchased through a reuse program, to reduce waste, costs, and the associated </w:t>
            </w:r>
            <w:r w:rsidR="00BD3B79">
              <w:lastRenderedPageBreak/>
              <w:t xml:space="preserve">carbon emissions from creating new products. </w:t>
            </w:r>
            <w:r w:rsidR="00A50A1F">
              <w:t>Given the large amount of product collected annually during the weeklong event, this is clearly an event that reaches many students within University Housing and throughout campus.</w:t>
            </w:r>
          </w:p>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20"/>
      <w:headerReference w:type="default" r:id="rId21"/>
      <w:footerReference w:type="even" r:id="rId22"/>
      <w:footerReference w:type="default" r:id="rId23"/>
      <w:head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5027" w14:textId="77777777" w:rsidR="00BF0DFE" w:rsidRDefault="00BF0DFE" w:rsidP="00E4055F">
      <w:r>
        <w:separator/>
      </w:r>
    </w:p>
  </w:endnote>
  <w:endnote w:type="continuationSeparator" w:id="0">
    <w:p w14:paraId="3EC5F7B2" w14:textId="77777777" w:rsidR="00BF0DFE" w:rsidRDefault="00BF0DF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1CAB" w14:textId="77777777" w:rsidR="00BF0DFE" w:rsidRDefault="00BF0DFE" w:rsidP="00E4055F">
      <w:r>
        <w:separator/>
      </w:r>
    </w:p>
  </w:footnote>
  <w:footnote w:type="continuationSeparator" w:id="0">
    <w:p w14:paraId="4910AD60" w14:textId="77777777" w:rsidR="00BF0DFE" w:rsidRDefault="00BF0DF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519726"/>
      <w:docPartObj>
        <w:docPartGallery w:val="Page Numbers (Top of Page)"/>
        <w:docPartUnique/>
      </w:docPartObj>
    </w:sdtPr>
    <w:sdtEndPr>
      <w:rPr>
        <w:rStyle w:val="PageNumber"/>
      </w:rPr>
    </w:sdtEndPr>
    <w:sdtContent>
      <w:p w14:paraId="4B8FD37D" w14:textId="6DECC50E"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587CDA">
          <w:rPr>
            <w:rStyle w:val="PageNumber"/>
            <w:noProof/>
          </w:rPr>
          <w:t>3</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F836BEA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
  </w:num>
  <w:num w:numId="4">
    <w:abstractNumId w:val="10"/>
  </w:num>
  <w:num w:numId="5">
    <w:abstractNumId w:val="6"/>
  </w:num>
  <w:num w:numId="6">
    <w:abstractNumId w:val="0"/>
  </w:num>
  <w:num w:numId="7">
    <w:abstractNumId w:val="3"/>
  </w:num>
  <w:num w:numId="8">
    <w:abstractNumId w:val="1"/>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D00AC"/>
    <w:rsid w:val="00103511"/>
    <w:rsid w:val="001120DE"/>
    <w:rsid w:val="00176539"/>
    <w:rsid w:val="001973DE"/>
    <w:rsid w:val="001B11FC"/>
    <w:rsid w:val="001C57AC"/>
    <w:rsid w:val="001E09AC"/>
    <w:rsid w:val="001E46D3"/>
    <w:rsid w:val="001F2DFA"/>
    <w:rsid w:val="002525FF"/>
    <w:rsid w:val="002A4D1F"/>
    <w:rsid w:val="002E5AB5"/>
    <w:rsid w:val="003255E7"/>
    <w:rsid w:val="00335505"/>
    <w:rsid w:val="00373E8F"/>
    <w:rsid w:val="003809D2"/>
    <w:rsid w:val="00382660"/>
    <w:rsid w:val="003D2228"/>
    <w:rsid w:val="003F4B80"/>
    <w:rsid w:val="00430F5F"/>
    <w:rsid w:val="00441002"/>
    <w:rsid w:val="00447337"/>
    <w:rsid w:val="004A3BDB"/>
    <w:rsid w:val="004A70C7"/>
    <w:rsid w:val="004C5B27"/>
    <w:rsid w:val="004E26B3"/>
    <w:rsid w:val="0050710E"/>
    <w:rsid w:val="00587CDA"/>
    <w:rsid w:val="005A3952"/>
    <w:rsid w:val="005B0EAA"/>
    <w:rsid w:val="005B1A51"/>
    <w:rsid w:val="005B2BD5"/>
    <w:rsid w:val="005C2B0E"/>
    <w:rsid w:val="0062389D"/>
    <w:rsid w:val="006239F0"/>
    <w:rsid w:val="00674803"/>
    <w:rsid w:val="006837AD"/>
    <w:rsid w:val="00684706"/>
    <w:rsid w:val="006A1062"/>
    <w:rsid w:val="006C1CC3"/>
    <w:rsid w:val="00713840"/>
    <w:rsid w:val="007363C9"/>
    <w:rsid w:val="007529CB"/>
    <w:rsid w:val="007764F6"/>
    <w:rsid w:val="00786E46"/>
    <w:rsid w:val="007A7412"/>
    <w:rsid w:val="00816DC7"/>
    <w:rsid w:val="00840CF0"/>
    <w:rsid w:val="00877D71"/>
    <w:rsid w:val="00886559"/>
    <w:rsid w:val="008B2189"/>
    <w:rsid w:val="008C1D47"/>
    <w:rsid w:val="008F1F6B"/>
    <w:rsid w:val="008F7BF7"/>
    <w:rsid w:val="009419DD"/>
    <w:rsid w:val="009574D9"/>
    <w:rsid w:val="0097327F"/>
    <w:rsid w:val="0098050B"/>
    <w:rsid w:val="00984126"/>
    <w:rsid w:val="0098585F"/>
    <w:rsid w:val="00A20B14"/>
    <w:rsid w:val="00A50A1F"/>
    <w:rsid w:val="00A76556"/>
    <w:rsid w:val="00A80422"/>
    <w:rsid w:val="00A90FF1"/>
    <w:rsid w:val="00A93A84"/>
    <w:rsid w:val="00AF130D"/>
    <w:rsid w:val="00B40E42"/>
    <w:rsid w:val="00B44C2E"/>
    <w:rsid w:val="00B632D3"/>
    <w:rsid w:val="00B80DE2"/>
    <w:rsid w:val="00BC6D82"/>
    <w:rsid w:val="00BD3242"/>
    <w:rsid w:val="00BD3B79"/>
    <w:rsid w:val="00BF0DFE"/>
    <w:rsid w:val="00C00975"/>
    <w:rsid w:val="00C336C2"/>
    <w:rsid w:val="00C66AED"/>
    <w:rsid w:val="00D10E51"/>
    <w:rsid w:val="00D3796C"/>
    <w:rsid w:val="00D57DC2"/>
    <w:rsid w:val="00DB1646"/>
    <w:rsid w:val="00DB2ED2"/>
    <w:rsid w:val="00E22794"/>
    <w:rsid w:val="00E4055F"/>
    <w:rsid w:val="00E54D9C"/>
    <w:rsid w:val="00E56BDE"/>
    <w:rsid w:val="00EB52EA"/>
    <w:rsid w:val="00F15017"/>
    <w:rsid w:val="00F40D66"/>
    <w:rsid w:val="00F57601"/>
    <w:rsid w:val="00F81EA2"/>
    <w:rsid w:val="00FC296A"/>
    <w:rsid w:val="00FD06AE"/>
    <w:rsid w:val="00FD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9419DD"/>
    <w:rPr>
      <w:sz w:val="16"/>
      <w:szCs w:val="16"/>
    </w:rPr>
  </w:style>
  <w:style w:type="paragraph" w:styleId="CommentText">
    <w:name w:val="annotation text"/>
    <w:basedOn w:val="Normal"/>
    <w:link w:val="CommentTextChar"/>
    <w:uiPriority w:val="99"/>
    <w:semiHidden/>
    <w:unhideWhenUsed/>
    <w:rsid w:val="009419DD"/>
    <w:rPr>
      <w:sz w:val="20"/>
      <w:szCs w:val="20"/>
    </w:rPr>
  </w:style>
  <w:style w:type="character" w:customStyle="1" w:styleId="CommentTextChar">
    <w:name w:val="Comment Text Char"/>
    <w:basedOn w:val="DefaultParagraphFont"/>
    <w:link w:val="CommentText"/>
    <w:uiPriority w:val="99"/>
    <w:semiHidden/>
    <w:rsid w:val="009419DD"/>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9419DD"/>
    <w:rPr>
      <w:b/>
      <w:bCs/>
    </w:rPr>
  </w:style>
  <w:style w:type="character" w:customStyle="1" w:styleId="CommentSubjectChar">
    <w:name w:val="Comment Subject Char"/>
    <w:basedOn w:val="CommentTextChar"/>
    <w:link w:val="CommentSubject"/>
    <w:uiPriority w:val="99"/>
    <w:semiHidden/>
    <w:rsid w:val="009419DD"/>
    <w:rPr>
      <w:rFonts w:eastAsiaTheme="minorEastAsia" w:cs="Times New Roman"/>
      <w:b/>
      <w:bCs/>
      <w:sz w:val="20"/>
      <w:szCs w:val="20"/>
    </w:rPr>
  </w:style>
  <w:style w:type="character" w:styleId="UnresolvedMention">
    <w:name w:val="Unresolved Mention"/>
    <w:basedOn w:val="DefaultParagraphFont"/>
    <w:uiPriority w:val="99"/>
    <w:semiHidden/>
    <w:unhideWhenUsed/>
    <w:rsid w:val="005B0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yperlink" Target="mailto:jwglass@illinois.edu" TargetMode="External"/><Relationship Id="rId18" Type="http://schemas.openxmlformats.org/officeDocument/2006/relationships/hyperlink" Target="mailto:acsealine@illinois.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Sustainability-Committee@Illinois.edu" TargetMode="External"/><Relationship Id="rId12" Type="http://schemas.openxmlformats.org/officeDocument/2006/relationships/hyperlink" Target="mailto:rfflder@illinois.edu" TargetMode="External"/><Relationship Id="rId17" Type="http://schemas.openxmlformats.org/officeDocument/2006/relationships/hyperlink" Target="mailto:refstck@illinois.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emayne@uillinois.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nold3@illinois.ed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mwilamb@illinois.edu" TargetMode="External"/><Relationship Id="rId23" Type="http://schemas.openxmlformats.org/officeDocument/2006/relationships/footer" Target="footer2.xml"/><Relationship Id="rId10" Type="http://schemas.openxmlformats.org/officeDocument/2006/relationships/hyperlink" Target="mailto:marc@universityymca.org" TargetMode="External"/><Relationship Id="rId19" Type="http://schemas.openxmlformats.org/officeDocument/2006/relationships/hyperlink" Target="mailto:mbwhite@illinois.edu" TargetMode="External"/><Relationship Id="rId4" Type="http://schemas.openxmlformats.org/officeDocument/2006/relationships/webSettings" Target="webSettings.xml"/><Relationship Id="rId9" Type="http://schemas.openxmlformats.org/officeDocument/2006/relationships/hyperlink" Target="mailto:blj@illinois.edu" TargetMode="External"/><Relationship Id="rId14" Type="http://schemas.openxmlformats.org/officeDocument/2006/relationships/hyperlink" Target="mailto:blj@illinois.edu"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Bryan Lloyd</cp:lastModifiedBy>
  <cp:revision>4</cp:revision>
  <cp:lastPrinted>2018-11-05T21:03:00Z</cp:lastPrinted>
  <dcterms:created xsi:type="dcterms:W3CDTF">2019-10-03T15:17:00Z</dcterms:created>
  <dcterms:modified xsi:type="dcterms:W3CDTF">2019-10-04T13:01:00Z</dcterms:modified>
</cp:coreProperties>
</file>