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2D6" w:rsidRPr="00527A07" w:rsidRDefault="00527A07">
      <w:pPr>
        <w:spacing w:after="82"/>
        <w:rPr>
          <w:rFonts w:ascii="Georgia" w:hAnsi="Georgia"/>
          <w:sz w:val="48"/>
          <w:szCs w:val="48"/>
        </w:rPr>
      </w:pPr>
      <w:proofErr w:type="spellStart"/>
      <w:r w:rsidRPr="00527A07">
        <w:rPr>
          <w:rFonts w:ascii="Georgia" w:eastAsia="Georgia" w:hAnsi="Georgia" w:cs="Georgia"/>
          <w:b/>
          <w:sz w:val="48"/>
          <w:szCs w:val="48"/>
          <w:u w:val="single" w:color="000000"/>
        </w:rPr>
        <w:t>iWG</w:t>
      </w:r>
      <w:proofErr w:type="spellEnd"/>
      <w:r w:rsidRPr="00527A07">
        <w:rPr>
          <w:rFonts w:ascii="Georgia" w:eastAsia="Georgia" w:hAnsi="Georgia" w:cs="Georgia"/>
          <w:b/>
          <w:sz w:val="48"/>
          <w:szCs w:val="48"/>
          <w:u w:val="single" w:color="000000"/>
        </w:rPr>
        <w:t xml:space="preserve"> Assessment</w:t>
      </w:r>
      <w:r w:rsidRPr="00527A07">
        <w:rPr>
          <w:rFonts w:ascii="Georgia" w:eastAsia="Georgia" w:hAnsi="Georgia" w:cs="Georgia"/>
          <w:b/>
          <w:sz w:val="48"/>
          <w:szCs w:val="48"/>
        </w:rPr>
        <w:t xml:space="preserve"> </w:t>
      </w:r>
    </w:p>
    <w:p w:rsidR="00527A07" w:rsidRPr="00527A07" w:rsidRDefault="00527A07">
      <w:pPr>
        <w:spacing w:after="40"/>
        <w:ind w:left="-30" w:right="-31"/>
        <w:rPr>
          <w:rFonts w:ascii="Georgia" w:eastAsia="Georgia" w:hAnsi="Georgia" w:cs="Georgia"/>
          <w:b/>
          <w:sz w:val="24"/>
          <w:szCs w:val="24"/>
        </w:rPr>
      </w:pPr>
    </w:p>
    <w:p w:rsidR="00527A07" w:rsidRPr="00527A07" w:rsidRDefault="00527A07" w:rsidP="00527A07">
      <w:pPr>
        <w:spacing w:after="0" w:line="240" w:lineRule="auto"/>
        <w:rPr>
          <w:rFonts w:ascii="Georgia" w:hAnsi="Georgia" w:cs="Times New Roman"/>
          <w:sz w:val="24"/>
          <w:szCs w:val="24"/>
        </w:rPr>
      </w:pPr>
      <w:proofErr w:type="spellStart"/>
      <w:r w:rsidRPr="00527A07">
        <w:rPr>
          <w:rFonts w:ascii="Georgia" w:hAnsi="Georgia" w:cs="Times New Roman"/>
          <w:b/>
          <w:sz w:val="24"/>
          <w:szCs w:val="24"/>
        </w:rPr>
        <w:t>SWATeam</w:t>
      </w:r>
      <w:proofErr w:type="spellEnd"/>
      <w:r w:rsidRPr="00527A07">
        <w:rPr>
          <w:rFonts w:ascii="Georgia" w:hAnsi="Georgia" w:cs="Times New Roman"/>
          <w:b/>
          <w:sz w:val="24"/>
          <w:szCs w:val="24"/>
        </w:rPr>
        <w:t xml:space="preserve"> Recommendation Ref #:</w:t>
      </w:r>
      <w:r w:rsidRPr="00527A07">
        <w:rPr>
          <w:rFonts w:ascii="Georgia" w:hAnsi="Georgia" w:cs="Times New Roman"/>
          <w:sz w:val="24"/>
          <w:szCs w:val="24"/>
        </w:rPr>
        <w:t xml:space="preserve"> </w:t>
      </w:r>
      <w:r w:rsidRPr="00527A07">
        <w:rPr>
          <w:rFonts w:ascii="Georgia" w:hAnsi="Georgia" w:cs="Times New Roman"/>
          <w:sz w:val="24"/>
          <w:szCs w:val="24"/>
          <w:u w:val="single"/>
        </w:rPr>
        <w:t xml:space="preserve">Energy 004 – Energy Conservation Funding </w:t>
      </w:r>
      <w:r w:rsidRPr="00527A07">
        <w:rPr>
          <w:rFonts w:ascii="Georgia" w:hAnsi="Georgia" w:cs="Times New Roman"/>
          <w:sz w:val="24"/>
          <w:szCs w:val="24"/>
        </w:rPr>
        <w:t xml:space="preserve">                </w:t>
      </w:r>
      <w:r w:rsidRPr="00527A07">
        <w:rPr>
          <w:rFonts w:ascii="Georgia" w:hAnsi="Georgia" w:cs="Times New Roman"/>
          <w:sz w:val="24"/>
          <w:szCs w:val="24"/>
        </w:rPr>
        <w:tab/>
      </w:r>
      <w:r w:rsidRPr="00527A07">
        <w:rPr>
          <w:rFonts w:ascii="Georgia" w:hAnsi="Georgia" w:cs="Times New Roman"/>
          <w:sz w:val="24"/>
          <w:szCs w:val="24"/>
        </w:rPr>
        <w:tab/>
      </w:r>
    </w:p>
    <w:p w:rsidR="00527A07" w:rsidRPr="00527A07" w:rsidRDefault="00527A07" w:rsidP="00527A07">
      <w:pPr>
        <w:spacing w:after="0" w:line="240" w:lineRule="auto"/>
        <w:rPr>
          <w:rFonts w:ascii="Georgia" w:hAnsi="Georgia" w:cs="Times New Roman"/>
          <w:sz w:val="24"/>
          <w:szCs w:val="24"/>
          <w:u w:val="single"/>
        </w:rPr>
      </w:pPr>
      <w:r w:rsidRPr="00527A07">
        <w:rPr>
          <w:rFonts w:ascii="Georgia" w:hAnsi="Georgia" w:cs="Times New Roman"/>
          <w:b/>
          <w:sz w:val="24"/>
          <w:szCs w:val="24"/>
        </w:rPr>
        <w:t xml:space="preserve">Date of </w:t>
      </w:r>
      <w:proofErr w:type="spellStart"/>
      <w:r w:rsidRPr="00527A07">
        <w:rPr>
          <w:rFonts w:ascii="Georgia" w:hAnsi="Georgia" w:cs="Times New Roman"/>
          <w:b/>
          <w:sz w:val="24"/>
          <w:szCs w:val="24"/>
        </w:rPr>
        <w:t>iWG</w:t>
      </w:r>
      <w:proofErr w:type="spellEnd"/>
      <w:r w:rsidRPr="00527A07">
        <w:rPr>
          <w:rFonts w:ascii="Georgia" w:hAnsi="Georgia" w:cs="Times New Roman"/>
          <w:b/>
          <w:sz w:val="24"/>
          <w:szCs w:val="24"/>
        </w:rPr>
        <w:t xml:space="preserve"> Assessment Started:</w:t>
      </w:r>
      <w:r w:rsidRPr="00527A07">
        <w:rPr>
          <w:rFonts w:ascii="Georgia" w:hAnsi="Georgia" w:cs="Times New Roman"/>
          <w:sz w:val="24"/>
          <w:szCs w:val="24"/>
        </w:rPr>
        <w:t xml:space="preserve">  2-25-21</w:t>
      </w:r>
      <w:r w:rsidRPr="00527A07">
        <w:rPr>
          <w:rFonts w:ascii="Georgia" w:hAnsi="Georgia" w:cs="Times New Roman"/>
          <w:sz w:val="24"/>
          <w:szCs w:val="24"/>
        </w:rPr>
        <w:tab/>
      </w:r>
      <w:r w:rsidRPr="00527A07">
        <w:rPr>
          <w:rFonts w:ascii="Georgia" w:hAnsi="Georgia" w:cs="Times New Roman"/>
          <w:sz w:val="24"/>
          <w:szCs w:val="24"/>
        </w:rPr>
        <w:tab/>
      </w:r>
      <w:r w:rsidRPr="00527A07">
        <w:rPr>
          <w:rFonts w:ascii="Georgia" w:hAnsi="Georgia" w:cs="Times New Roman"/>
          <w:sz w:val="24"/>
          <w:szCs w:val="24"/>
        </w:rPr>
        <w:tab/>
      </w:r>
      <w:r w:rsidRPr="00527A07">
        <w:rPr>
          <w:rFonts w:ascii="Georgia" w:hAnsi="Georgia" w:cs="Times New Roman"/>
          <w:b/>
          <w:sz w:val="24"/>
          <w:szCs w:val="24"/>
        </w:rPr>
        <w:t xml:space="preserve">Assessment Completed: </w:t>
      </w:r>
      <w:r w:rsidRPr="00527A07">
        <w:rPr>
          <w:rFonts w:ascii="Georgia" w:hAnsi="Georgia" w:cs="Times New Roman"/>
          <w:b/>
          <w:sz w:val="24"/>
          <w:szCs w:val="24"/>
          <w:u w:val="single"/>
        </w:rPr>
        <w:t>4-6-21</w:t>
      </w:r>
      <w:r w:rsidRPr="00527A07">
        <w:rPr>
          <w:rFonts w:ascii="Georgia" w:hAnsi="Georgia" w:cs="Times New Roman"/>
          <w:b/>
          <w:sz w:val="24"/>
          <w:szCs w:val="24"/>
          <w:u w:val="single"/>
        </w:rPr>
        <w:br/>
      </w:r>
    </w:p>
    <w:p w:rsidR="00CF12D6" w:rsidRPr="00527A07" w:rsidRDefault="00527A07">
      <w:pPr>
        <w:spacing w:after="40"/>
        <w:ind w:left="-30" w:right="-31"/>
        <w:rPr>
          <w:rFonts w:ascii="Georgia" w:hAnsi="Georgia"/>
          <w:sz w:val="24"/>
          <w:szCs w:val="24"/>
        </w:rPr>
      </w:pPr>
      <w:r w:rsidRPr="00527A07">
        <w:rPr>
          <w:rFonts w:ascii="Georgia" w:hAnsi="Georgia"/>
          <w:noProof/>
          <w:sz w:val="24"/>
          <w:szCs w:val="24"/>
        </w:rPr>
        <mc:AlternateContent>
          <mc:Choice Requires="wpg">
            <w:drawing>
              <wp:inline distT="0" distB="0" distL="0" distR="0">
                <wp:extent cx="6896862" cy="9144"/>
                <wp:effectExtent l="0" t="0" r="0" b="0"/>
                <wp:docPr id="4011" name="Group 4011"/>
                <wp:cNvGraphicFramePr/>
                <a:graphic xmlns:a="http://schemas.openxmlformats.org/drawingml/2006/main">
                  <a:graphicData uri="http://schemas.microsoft.com/office/word/2010/wordprocessingGroup">
                    <wpg:wgp>
                      <wpg:cNvGrpSpPr/>
                      <wpg:grpSpPr>
                        <a:xfrm>
                          <a:off x="0" y="0"/>
                          <a:ext cx="6896862" cy="9144"/>
                          <a:chOff x="0" y="0"/>
                          <a:chExt cx="6896862" cy="9144"/>
                        </a:xfrm>
                      </wpg:grpSpPr>
                      <wps:wsp>
                        <wps:cNvPr id="4268" name="Shape 4268"/>
                        <wps:cNvSpPr/>
                        <wps:spPr>
                          <a:xfrm>
                            <a:off x="0" y="0"/>
                            <a:ext cx="6896862" cy="9144"/>
                          </a:xfrm>
                          <a:custGeom>
                            <a:avLst/>
                            <a:gdLst/>
                            <a:ahLst/>
                            <a:cxnLst/>
                            <a:rect l="0" t="0" r="0" b="0"/>
                            <a:pathLst>
                              <a:path w="6896862" h="9144">
                                <a:moveTo>
                                  <a:pt x="0" y="0"/>
                                </a:moveTo>
                                <a:lnTo>
                                  <a:pt x="6896862" y="0"/>
                                </a:lnTo>
                                <a:lnTo>
                                  <a:pt x="68968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11" style="width:543.06pt;height:0.719971pt;mso-position-horizontal-relative:char;mso-position-vertical-relative:line" coordsize="68968,91">
                <v:shape id="Shape 4269" style="position:absolute;width:68968;height:91;left:0;top:0;" coordsize="6896862,9144" path="m0,0l6896862,0l6896862,9144l0,9144l0,0">
                  <v:stroke weight="0pt" endcap="flat" joinstyle="miter" miterlimit="10" on="false" color="#000000" opacity="0"/>
                  <v:fill on="true" color="#000000"/>
                </v:shape>
              </v:group>
            </w:pict>
          </mc:Fallback>
        </mc:AlternateContent>
      </w:r>
    </w:p>
    <w:p w:rsidR="00CF12D6" w:rsidRPr="00527A07" w:rsidRDefault="00527A07">
      <w:pPr>
        <w:spacing w:after="0"/>
        <w:rPr>
          <w:rFonts w:ascii="Georgia" w:hAnsi="Georgia"/>
          <w:sz w:val="24"/>
          <w:szCs w:val="24"/>
        </w:rPr>
      </w:pPr>
      <w:r w:rsidRPr="00527A07">
        <w:rPr>
          <w:rFonts w:ascii="Georgia" w:eastAsia="Georgia" w:hAnsi="Georgia" w:cs="Georgia"/>
          <w:sz w:val="24"/>
          <w:szCs w:val="24"/>
        </w:rPr>
        <w:t xml:space="preserve"> </w:t>
      </w:r>
    </w:p>
    <w:p w:rsidR="00CF12D6" w:rsidRPr="00527A07" w:rsidRDefault="00527A07" w:rsidP="00527A07">
      <w:pPr>
        <w:spacing w:after="0" w:line="240" w:lineRule="auto"/>
        <w:rPr>
          <w:rFonts w:ascii="Georgia" w:hAnsi="Georgia" w:cs="Times New Roman"/>
          <w:sz w:val="24"/>
          <w:szCs w:val="24"/>
        </w:rPr>
      </w:pPr>
      <w:proofErr w:type="spellStart"/>
      <w:r w:rsidRPr="00527A07">
        <w:rPr>
          <w:rFonts w:ascii="Georgia" w:eastAsia="Georgia" w:hAnsi="Georgia" w:cs="Georgia"/>
          <w:b/>
          <w:sz w:val="24"/>
          <w:szCs w:val="24"/>
        </w:rPr>
        <w:t>iWG</w:t>
      </w:r>
      <w:proofErr w:type="spellEnd"/>
      <w:r w:rsidRPr="00527A07">
        <w:rPr>
          <w:rFonts w:ascii="Georgia" w:eastAsia="Georgia" w:hAnsi="Georgia" w:cs="Georgia"/>
          <w:b/>
          <w:sz w:val="24"/>
          <w:szCs w:val="24"/>
        </w:rPr>
        <w:t xml:space="preserve"> Recommendation: </w:t>
      </w:r>
      <w:r w:rsidRPr="00527A07">
        <w:rPr>
          <w:rFonts w:ascii="Georgia" w:hAnsi="Georgia" w:cs="Times New Roman"/>
          <w:sz w:val="24"/>
          <w:szCs w:val="24"/>
        </w:rPr>
        <w:t xml:space="preserve">Based on discussions with F&amp;S Utilities &amp; Energy Services and the Office of the Provost, we recognize that this recommendation meets strategic priorities and will reduce energy costs.  The </w:t>
      </w:r>
      <w:proofErr w:type="spellStart"/>
      <w:r w:rsidRPr="00527A07">
        <w:rPr>
          <w:rFonts w:ascii="Georgia" w:hAnsi="Georgia" w:cs="Times New Roman"/>
          <w:sz w:val="24"/>
          <w:szCs w:val="24"/>
        </w:rPr>
        <w:t>iWG</w:t>
      </w:r>
      <w:proofErr w:type="spellEnd"/>
      <w:r w:rsidRPr="00527A07">
        <w:rPr>
          <w:rFonts w:ascii="Georgia" w:hAnsi="Georgia" w:cs="Times New Roman"/>
          <w:sz w:val="24"/>
          <w:szCs w:val="24"/>
        </w:rPr>
        <w:t xml:space="preserve"> recommends that the College of ACES, Facilities &amp; Services, and the Campus work together to prioritize funding for the ACES Energy Performance Contract, and initiate that effort as soon as possible.</w:t>
      </w:r>
    </w:p>
    <w:p w:rsidR="00CF12D6" w:rsidRPr="00527A07" w:rsidRDefault="00527A07">
      <w:pPr>
        <w:spacing w:after="0"/>
        <w:rPr>
          <w:rFonts w:ascii="Georgia" w:hAnsi="Georgia"/>
          <w:sz w:val="24"/>
          <w:szCs w:val="24"/>
        </w:rPr>
      </w:pPr>
      <w:r w:rsidRPr="00527A07">
        <w:rPr>
          <w:rFonts w:ascii="Georgia" w:eastAsia="Georgia" w:hAnsi="Georgia" w:cs="Georgia"/>
          <w:sz w:val="24"/>
          <w:szCs w:val="24"/>
        </w:rPr>
        <w:t xml:space="preserve"> </w:t>
      </w:r>
    </w:p>
    <w:p w:rsidR="00527A07" w:rsidRPr="00527A07" w:rsidRDefault="00527A07" w:rsidP="00527A07">
      <w:pPr>
        <w:spacing w:after="11" w:line="248" w:lineRule="auto"/>
        <w:ind w:left="-5" w:right="82" w:hanging="10"/>
        <w:jc w:val="both"/>
        <w:rPr>
          <w:rFonts w:ascii="Georgia" w:eastAsia="Georgia" w:hAnsi="Georgia" w:cs="Georgia"/>
          <w:sz w:val="24"/>
          <w:szCs w:val="24"/>
        </w:rPr>
      </w:pPr>
      <w:proofErr w:type="spellStart"/>
      <w:r w:rsidRPr="00527A07">
        <w:rPr>
          <w:rFonts w:ascii="Georgia" w:eastAsia="Georgia" w:hAnsi="Georgia" w:cs="Georgia"/>
          <w:b/>
          <w:sz w:val="24"/>
          <w:szCs w:val="24"/>
        </w:rPr>
        <w:t>iWG</w:t>
      </w:r>
      <w:proofErr w:type="spellEnd"/>
      <w:r w:rsidRPr="00527A07">
        <w:rPr>
          <w:rFonts w:ascii="Georgia" w:eastAsia="Georgia" w:hAnsi="Georgia" w:cs="Georgia"/>
          <w:b/>
          <w:sz w:val="24"/>
          <w:szCs w:val="24"/>
        </w:rPr>
        <w:t xml:space="preserve"> Rout</w:t>
      </w:r>
      <w:r w:rsidRPr="00527A07">
        <w:rPr>
          <w:rFonts w:ascii="Georgia" w:eastAsia="Georgia" w:hAnsi="Georgia" w:cs="Georgia"/>
          <w:b/>
          <w:sz w:val="24"/>
          <w:szCs w:val="24"/>
        </w:rPr>
        <w:t>ing Direction (</w:t>
      </w:r>
      <w:r w:rsidRPr="00527A07">
        <w:rPr>
          <w:rFonts w:ascii="Georgia" w:eastAsia="Georgia" w:hAnsi="Georgia" w:cs="Georgia"/>
          <w:b/>
          <w:i/>
          <w:sz w:val="24"/>
          <w:szCs w:val="24"/>
        </w:rPr>
        <w:t xml:space="preserve">department name, </w:t>
      </w:r>
      <w:proofErr w:type="spellStart"/>
      <w:r w:rsidRPr="00527A07">
        <w:rPr>
          <w:rFonts w:ascii="Georgia" w:eastAsia="Georgia" w:hAnsi="Georgia" w:cs="Georgia"/>
          <w:b/>
          <w:i/>
          <w:sz w:val="24"/>
          <w:szCs w:val="24"/>
        </w:rPr>
        <w:t>SWATeam</w:t>
      </w:r>
      <w:proofErr w:type="spellEnd"/>
      <w:r w:rsidRPr="00527A07">
        <w:rPr>
          <w:rFonts w:ascii="Georgia" w:eastAsia="Georgia" w:hAnsi="Georgia" w:cs="Georgia"/>
          <w:b/>
          <w:i/>
          <w:sz w:val="24"/>
          <w:szCs w:val="24"/>
        </w:rPr>
        <w:t>, or Council</w:t>
      </w:r>
      <w:r w:rsidRPr="00527A07">
        <w:rPr>
          <w:rFonts w:ascii="Georgia" w:eastAsia="Georgia" w:hAnsi="Georgia" w:cs="Georgia"/>
          <w:b/>
          <w:sz w:val="24"/>
          <w:szCs w:val="24"/>
        </w:rPr>
        <w:t>):</w:t>
      </w:r>
      <w:r w:rsidRPr="00527A07">
        <w:rPr>
          <w:rFonts w:ascii="Georgia" w:eastAsia="Georgia" w:hAnsi="Georgia" w:cs="Georgia"/>
          <w:sz w:val="24"/>
          <w:szCs w:val="24"/>
        </w:rPr>
        <w:t xml:space="preserve"> </w:t>
      </w:r>
      <w:r w:rsidRPr="00527A07">
        <w:rPr>
          <w:rFonts w:ascii="Georgia" w:hAnsi="Georgia" w:cs="Times New Roman"/>
          <w:sz w:val="24"/>
          <w:szCs w:val="24"/>
          <w:u w:val="single"/>
        </w:rPr>
        <w:t>Sustainability Council</w:t>
      </w:r>
      <w:r w:rsidRPr="00527A07">
        <w:rPr>
          <w:rFonts w:ascii="Georgia" w:eastAsia="Georgia" w:hAnsi="Georgia" w:cs="Georgia"/>
          <w:sz w:val="24"/>
          <w:szCs w:val="24"/>
        </w:rPr>
        <w:t xml:space="preserve"> </w:t>
      </w:r>
    </w:p>
    <w:p w:rsidR="00527A07" w:rsidRPr="00527A07" w:rsidRDefault="00527A07" w:rsidP="00527A07">
      <w:pPr>
        <w:spacing w:after="11" w:line="248" w:lineRule="auto"/>
        <w:ind w:left="-5" w:right="82" w:hanging="10"/>
        <w:jc w:val="both"/>
        <w:rPr>
          <w:rFonts w:ascii="Georgia" w:eastAsia="Georgia" w:hAnsi="Georgia" w:cs="Georgia"/>
          <w:sz w:val="24"/>
          <w:szCs w:val="24"/>
        </w:rPr>
      </w:pPr>
    </w:p>
    <w:p w:rsidR="00CF12D6" w:rsidRPr="00527A07" w:rsidRDefault="00527A07" w:rsidP="00527A07">
      <w:pPr>
        <w:spacing w:after="11" w:line="248" w:lineRule="auto"/>
        <w:ind w:left="-5" w:right="82" w:hanging="10"/>
        <w:jc w:val="both"/>
        <w:rPr>
          <w:rFonts w:ascii="Georgia" w:hAnsi="Georgia"/>
          <w:sz w:val="24"/>
          <w:szCs w:val="24"/>
        </w:rPr>
      </w:pPr>
      <w:r w:rsidRPr="00527A07">
        <w:rPr>
          <w:rFonts w:ascii="Georgia" w:eastAsia="Georgia" w:hAnsi="Georgia" w:cs="Georgia"/>
          <w:sz w:val="24"/>
          <w:szCs w:val="24"/>
        </w:rPr>
        <w:t xml:space="preserve">Individual comments from each </w:t>
      </w:r>
      <w:proofErr w:type="spellStart"/>
      <w:r w:rsidRPr="00527A07">
        <w:rPr>
          <w:rFonts w:ascii="Georgia" w:eastAsia="Georgia" w:hAnsi="Georgia" w:cs="Georgia"/>
          <w:sz w:val="24"/>
          <w:szCs w:val="24"/>
        </w:rPr>
        <w:t>iWG</w:t>
      </w:r>
      <w:proofErr w:type="spellEnd"/>
      <w:r w:rsidRPr="00527A07">
        <w:rPr>
          <w:rFonts w:ascii="Georgia" w:eastAsia="Georgia" w:hAnsi="Georgia" w:cs="Georgia"/>
          <w:sz w:val="24"/>
          <w:szCs w:val="24"/>
        </w:rPr>
        <w:t xml:space="preserve"> member:  </w:t>
      </w:r>
    </w:p>
    <w:p w:rsidR="00CF12D6" w:rsidRPr="00527A07" w:rsidRDefault="00527A07">
      <w:pPr>
        <w:spacing w:after="0"/>
        <w:rPr>
          <w:rFonts w:ascii="Georgia" w:hAnsi="Georgia"/>
          <w:sz w:val="24"/>
          <w:szCs w:val="24"/>
        </w:rPr>
      </w:pPr>
      <w:r w:rsidRPr="00527A07">
        <w:rPr>
          <w:rFonts w:ascii="Georgia" w:eastAsia="Georgia" w:hAnsi="Georgia" w:cs="Georgia"/>
          <w:sz w:val="24"/>
          <w:szCs w:val="24"/>
        </w:rPr>
        <w:t xml:space="preserve"> </w:t>
      </w:r>
    </w:p>
    <w:p w:rsidR="00527A07" w:rsidRPr="00527A07" w:rsidRDefault="00527A07">
      <w:pPr>
        <w:spacing w:after="0"/>
        <w:rPr>
          <w:rFonts w:ascii="Georgia" w:hAnsi="Georgia"/>
          <w:sz w:val="24"/>
          <w:szCs w:val="24"/>
        </w:rPr>
      </w:pPr>
      <w:r w:rsidRPr="00527A07">
        <w:rPr>
          <w:rFonts w:ascii="Georgia" w:eastAsia="Georgia" w:hAnsi="Georgia" w:cs="Georgia"/>
          <w:sz w:val="24"/>
          <w:szCs w:val="24"/>
        </w:rPr>
        <w:t xml:space="preserve"> </w:t>
      </w:r>
    </w:p>
    <w:tbl>
      <w:tblPr>
        <w:tblStyle w:val="TableGrid0"/>
        <w:tblW w:w="0" w:type="auto"/>
        <w:tblLook w:val="04A0" w:firstRow="1" w:lastRow="0" w:firstColumn="1" w:lastColumn="0" w:noHBand="0" w:noVBand="1"/>
      </w:tblPr>
      <w:tblGrid>
        <w:gridCol w:w="2434"/>
        <w:gridCol w:w="8356"/>
      </w:tblGrid>
      <w:tr w:rsidR="00527A07" w:rsidRPr="00347CA3" w:rsidTr="00876739">
        <w:trPr>
          <w:trHeight w:val="323"/>
        </w:trPr>
        <w:tc>
          <w:tcPr>
            <w:tcW w:w="2434" w:type="dxa"/>
          </w:tcPr>
          <w:p w:rsidR="00527A07" w:rsidRPr="00347CA3" w:rsidRDefault="00527A07" w:rsidP="00876739">
            <w:pPr>
              <w:jc w:val="center"/>
              <w:rPr>
                <w:rFonts w:ascii="Georgia" w:hAnsi="Georgia" w:cs="Times New Roman"/>
                <w:szCs w:val="24"/>
              </w:rPr>
            </w:pPr>
            <w:proofErr w:type="spellStart"/>
            <w:r w:rsidRPr="00347CA3">
              <w:rPr>
                <w:rFonts w:ascii="Georgia" w:hAnsi="Georgia" w:cs="Times New Roman"/>
                <w:szCs w:val="24"/>
              </w:rPr>
              <w:t>iWG</w:t>
            </w:r>
            <w:proofErr w:type="spellEnd"/>
            <w:r w:rsidRPr="00347CA3">
              <w:rPr>
                <w:rFonts w:ascii="Georgia" w:hAnsi="Georgia" w:cs="Times New Roman"/>
                <w:szCs w:val="24"/>
              </w:rPr>
              <w:t xml:space="preserve"> Member Name</w:t>
            </w:r>
          </w:p>
        </w:tc>
        <w:tc>
          <w:tcPr>
            <w:tcW w:w="8356" w:type="dxa"/>
          </w:tcPr>
          <w:p w:rsidR="00527A07" w:rsidRPr="00347CA3" w:rsidRDefault="00527A07" w:rsidP="00876739">
            <w:pPr>
              <w:jc w:val="center"/>
              <w:rPr>
                <w:rFonts w:ascii="Georgia" w:hAnsi="Georgia" w:cs="Times New Roman"/>
                <w:szCs w:val="24"/>
              </w:rPr>
            </w:pPr>
            <w:proofErr w:type="spellStart"/>
            <w:r w:rsidRPr="00347CA3">
              <w:rPr>
                <w:rFonts w:ascii="Georgia" w:hAnsi="Georgia" w:cs="Times New Roman"/>
                <w:szCs w:val="24"/>
              </w:rPr>
              <w:t>iWG</w:t>
            </w:r>
            <w:proofErr w:type="spellEnd"/>
            <w:r w:rsidRPr="00347CA3">
              <w:rPr>
                <w:rFonts w:ascii="Georgia" w:hAnsi="Georgia" w:cs="Times New Roman"/>
                <w:szCs w:val="24"/>
              </w:rPr>
              <w:t xml:space="preserve"> Member’s Comments</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Ximing Cai</w:t>
            </w:r>
          </w:p>
          <w:p w:rsidR="00527A07" w:rsidRPr="00347CA3" w:rsidRDefault="00527A07" w:rsidP="00876739">
            <w:pPr>
              <w:rPr>
                <w:rFonts w:ascii="Georgia" w:hAnsi="Georgia" w:cs="Times New Roman"/>
                <w:szCs w:val="24"/>
              </w:rPr>
            </w:pPr>
            <w:r w:rsidRPr="00347CA3">
              <w:rPr>
                <w:rFonts w:ascii="Georgia" w:hAnsi="Georgia" w:cs="Times New Roman"/>
                <w:szCs w:val="24"/>
              </w:rPr>
              <w:t>(iSEE)</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 xml:space="preserve"> I support this recommendation. This effort is consistent with </w:t>
            </w:r>
            <w:proofErr w:type="spellStart"/>
            <w:r w:rsidRPr="00347CA3">
              <w:rPr>
                <w:rFonts w:ascii="Georgia" w:hAnsi="Georgia" w:cs="Times New Roman"/>
                <w:szCs w:val="24"/>
              </w:rPr>
              <w:t>iSEE’s</w:t>
            </w:r>
            <w:proofErr w:type="spellEnd"/>
            <w:r w:rsidRPr="00347CA3">
              <w:rPr>
                <w:rFonts w:ascii="Georgia" w:hAnsi="Georgia" w:cs="Times New Roman"/>
                <w:szCs w:val="24"/>
              </w:rPr>
              <w:t xml:space="preserve"> goals on Energy, and will be important to meet iCAP 2020 energy objectives. The campus administration may work with colleges for the implementation of the recommendation underlying the new utility finance model.    </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Morgan White</w:t>
            </w:r>
          </w:p>
          <w:p w:rsidR="00527A07" w:rsidRPr="00347CA3" w:rsidRDefault="00527A07" w:rsidP="00876739">
            <w:pPr>
              <w:rPr>
                <w:rFonts w:ascii="Georgia" w:hAnsi="Georgia" w:cs="Times New Roman"/>
                <w:szCs w:val="24"/>
              </w:rPr>
            </w:pPr>
            <w:r w:rsidRPr="00347CA3">
              <w:rPr>
                <w:rFonts w:ascii="Georgia" w:hAnsi="Georgia" w:cs="Times New Roman"/>
                <w:szCs w:val="24"/>
              </w:rPr>
              <w:t>(F&amp;S)</w:t>
            </w:r>
          </w:p>
        </w:tc>
        <w:tc>
          <w:tcPr>
            <w:tcW w:w="8356" w:type="dxa"/>
          </w:tcPr>
          <w:p w:rsidR="00527A07" w:rsidRPr="00347CA3" w:rsidRDefault="00527A07" w:rsidP="00876739">
            <w:pPr>
              <w:rPr>
                <w:rFonts w:ascii="Georgia" w:hAnsi="Georgia" w:cs="Times New Roman"/>
                <w:szCs w:val="24"/>
              </w:rPr>
            </w:pPr>
            <w:r w:rsidRPr="00347CA3">
              <w:rPr>
                <w:rFonts w:ascii="Georgia" w:hAnsi="Georgia" w:cstheme="minorHAnsi"/>
              </w:rPr>
              <w:t>This is an important sustainability initiative, and it should be a priority for strategic university investments to save energy costs as well as address some of the deferred maintenance backlog.</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Sandy Yoo (System Office)</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The UOCP/System Office supports efforts such as this, where opportunities exist and willing partners come together for the good of the University, as a whole.</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Matthew Tomaszewski</w:t>
            </w:r>
          </w:p>
          <w:p w:rsidR="00527A07" w:rsidRPr="00347CA3" w:rsidRDefault="00527A07" w:rsidP="00876739">
            <w:pPr>
              <w:rPr>
                <w:rFonts w:ascii="Georgia" w:hAnsi="Georgia" w:cs="Times New Roman"/>
              </w:rPr>
            </w:pPr>
            <w:r w:rsidRPr="00347CA3">
              <w:rPr>
                <w:rFonts w:ascii="Georgia" w:hAnsi="Georgia" w:cs="Times New Roman"/>
                <w:szCs w:val="24"/>
              </w:rPr>
              <w:t>(Provost Office)</w:t>
            </w:r>
          </w:p>
        </w:tc>
        <w:tc>
          <w:tcPr>
            <w:tcW w:w="8356" w:type="dxa"/>
          </w:tcPr>
          <w:p w:rsidR="00527A07" w:rsidRPr="00347CA3" w:rsidRDefault="00527A07" w:rsidP="00876739">
            <w:pPr>
              <w:rPr>
                <w:rFonts w:ascii="Georgia" w:hAnsi="Georgia" w:cs="Times New Roman"/>
                <w:szCs w:val="24"/>
              </w:rPr>
            </w:pPr>
            <w:r>
              <w:rPr>
                <w:rFonts w:ascii="Georgia" w:hAnsi="Georgia" w:cs="Times New Roman"/>
                <w:szCs w:val="24"/>
              </w:rPr>
              <w:t xml:space="preserve">Unavailable for comment. </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rPr>
              <w:t xml:space="preserve">Qu Kim (College Facilities) </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I support the recommendation. Per the meeting with UES, careful planning and prioritization are necessary to be flexible and have the ability to address the smaller EPC projects when the available funding for a particular year is smaller than other years.</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rPr>
              <w:t>John Dallesasse</w:t>
            </w:r>
          </w:p>
          <w:p w:rsidR="00527A07" w:rsidRPr="00347CA3" w:rsidRDefault="00527A07" w:rsidP="00876739">
            <w:pPr>
              <w:rPr>
                <w:rFonts w:ascii="Georgia" w:hAnsi="Georgia" w:cs="Times New Roman"/>
                <w:szCs w:val="24"/>
              </w:rPr>
            </w:pPr>
            <w:r w:rsidRPr="00347CA3">
              <w:rPr>
                <w:rFonts w:ascii="Georgia" w:hAnsi="Georgia" w:cs="Times New Roman"/>
                <w:szCs w:val="24"/>
              </w:rPr>
              <w:t>(Academic Senate)</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 xml:space="preserve">I support this recommendation. </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rPr>
              <w:t xml:space="preserve">Marcus Jackson (Auxiliaries) </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I support the recommendation as this will provide campus collaboration with the goal of saving on energy costs</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Joey Kreiling (SSLC)</w:t>
            </w:r>
          </w:p>
        </w:tc>
        <w:tc>
          <w:tcPr>
            <w:tcW w:w="8356" w:type="dxa"/>
          </w:tcPr>
          <w:p w:rsidR="00527A07" w:rsidRPr="00347CA3" w:rsidRDefault="00527A07" w:rsidP="00876739">
            <w:pPr>
              <w:rPr>
                <w:rFonts w:ascii="Georgia" w:hAnsi="Georgia" w:cs="Times New Roman"/>
                <w:szCs w:val="24"/>
              </w:rPr>
            </w:pPr>
            <w:r w:rsidRPr="00347CA3">
              <w:rPr>
                <w:rFonts w:ascii="Georgia" w:hAnsi="Georgia"/>
              </w:rPr>
              <w:t>I support this recommendation -- addressing the backlog of deferred maintenance is crucial to campus energy use reduction and achieving iCAP energy goals. I also agree with Jonah that private firms should be considered as a legitimate possibility for the remaining deferred maintenance projects.</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lastRenderedPageBreak/>
              <w:t>Jonah Messinger (SSC)</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I support approving $10 million dollars in funding for this effort, but I would note that this level of funding is woefully low relative to the need and the opportunity for energy and money savings. I recommend that UIUC develop a request for proposals and/or request for information for a privately financed initiative to pursue energy efficiency, rooftop solar PV and solar thermal, etc. To be clear, this is not a loan, but rather a privately financed project that will be paid back via the energy and cost savings over time, which are guaranteed via the sub-contractor ESCO contracts. This completely de-risks the university and could yield funding that is an order of magnitude above $10 million.</w:t>
            </w:r>
          </w:p>
        </w:tc>
      </w:tr>
      <w:tr w:rsidR="00527A07" w:rsidRPr="00347CA3" w:rsidTr="00876739">
        <w:trPr>
          <w:trHeight w:val="720"/>
        </w:trPr>
        <w:tc>
          <w:tcPr>
            <w:tcW w:w="2434" w:type="dxa"/>
          </w:tcPr>
          <w:p w:rsidR="00527A07" w:rsidRPr="00347CA3" w:rsidRDefault="00527A07" w:rsidP="00876739">
            <w:pPr>
              <w:rPr>
                <w:rFonts w:ascii="Georgia" w:hAnsi="Georgia" w:cs="Times New Roman"/>
                <w:szCs w:val="24"/>
              </w:rPr>
            </w:pPr>
            <w:r w:rsidRPr="00347CA3">
              <w:rPr>
                <w:rFonts w:ascii="Georgia" w:hAnsi="Georgia" w:cs="Times New Roman"/>
                <w:szCs w:val="24"/>
              </w:rPr>
              <w:t>Creen Ahmad (ISG)</w:t>
            </w:r>
          </w:p>
        </w:tc>
        <w:tc>
          <w:tcPr>
            <w:tcW w:w="8356" w:type="dxa"/>
          </w:tcPr>
          <w:p w:rsidR="00527A07" w:rsidRPr="00347CA3" w:rsidRDefault="00527A07" w:rsidP="00876739">
            <w:pPr>
              <w:rPr>
                <w:rFonts w:ascii="Georgia" w:hAnsi="Georgia" w:cs="Times New Roman"/>
                <w:szCs w:val="24"/>
              </w:rPr>
            </w:pPr>
            <w:r w:rsidRPr="00347CA3">
              <w:rPr>
                <w:rFonts w:ascii="Georgia" w:hAnsi="Georgia" w:cs="Times New Roman"/>
                <w:szCs w:val="24"/>
              </w:rPr>
              <w:t>We fully support this recommendation as combining efforts of EPCs, Energy Conservation Funding, and building envelopes, is a great stride to achieve carbon neutrality. We fully support this effort and hope to see larger funds for energy conservation projects on campus. We also believe that the large amounts saved can be used to reinvest into EPC’s to make this a larger campus effort. </w:t>
            </w:r>
          </w:p>
          <w:p w:rsidR="00527A07" w:rsidRPr="00347CA3" w:rsidRDefault="00527A07" w:rsidP="00876739">
            <w:pPr>
              <w:rPr>
                <w:rFonts w:ascii="Georgia" w:hAnsi="Georgia" w:cs="Times New Roman"/>
                <w:szCs w:val="24"/>
              </w:rPr>
            </w:pPr>
          </w:p>
        </w:tc>
      </w:tr>
    </w:tbl>
    <w:p w:rsidR="00CF12D6" w:rsidRPr="00527A07" w:rsidRDefault="00CF12D6">
      <w:pPr>
        <w:spacing w:after="0"/>
        <w:rPr>
          <w:rFonts w:ascii="Georgia" w:hAnsi="Georgia"/>
          <w:sz w:val="24"/>
          <w:szCs w:val="24"/>
        </w:rPr>
      </w:pPr>
    </w:p>
    <w:p w:rsidR="00CF12D6" w:rsidRPr="00527A07" w:rsidRDefault="00527A07">
      <w:pPr>
        <w:spacing w:after="0"/>
        <w:rPr>
          <w:rFonts w:ascii="Georgia" w:hAnsi="Georgia"/>
          <w:sz w:val="24"/>
          <w:szCs w:val="24"/>
        </w:rPr>
      </w:pPr>
      <w:r w:rsidRPr="00527A07">
        <w:rPr>
          <w:rFonts w:ascii="Georgia" w:eastAsia="Georgia" w:hAnsi="Georgia" w:cs="Georgia"/>
          <w:b/>
          <w:sz w:val="24"/>
          <w:szCs w:val="24"/>
        </w:rPr>
        <w:t xml:space="preserve"> </w:t>
      </w:r>
    </w:p>
    <w:p w:rsidR="00CF12D6" w:rsidRDefault="00527A07">
      <w:pPr>
        <w:spacing w:after="0"/>
        <w:ind w:left="-5" w:hanging="10"/>
        <w:rPr>
          <w:rFonts w:ascii="Georgia" w:eastAsia="Georgia" w:hAnsi="Georgia" w:cs="Georgia"/>
          <w:sz w:val="24"/>
          <w:szCs w:val="24"/>
        </w:rPr>
      </w:pPr>
      <w:r w:rsidRPr="00527A07">
        <w:rPr>
          <w:rFonts w:ascii="Georgia" w:eastAsia="Georgia" w:hAnsi="Georgia" w:cs="Georgia"/>
          <w:b/>
          <w:sz w:val="24"/>
          <w:szCs w:val="24"/>
        </w:rPr>
        <w:t xml:space="preserve">Original </w:t>
      </w:r>
      <w:proofErr w:type="spellStart"/>
      <w:r w:rsidRPr="00527A07">
        <w:rPr>
          <w:rFonts w:ascii="Georgia" w:eastAsia="Georgia" w:hAnsi="Georgia" w:cs="Georgia"/>
          <w:b/>
          <w:sz w:val="24"/>
          <w:szCs w:val="24"/>
        </w:rPr>
        <w:t>SWATeam</w:t>
      </w:r>
      <w:proofErr w:type="spellEnd"/>
      <w:r w:rsidRPr="00527A07">
        <w:rPr>
          <w:rFonts w:ascii="Georgia" w:eastAsia="Georgia" w:hAnsi="Georgia" w:cs="Georgia"/>
          <w:b/>
          <w:sz w:val="24"/>
          <w:szCs w:val="24"/>
        </w:rPr>
        <w:t xml:space="preserve"> Recommendation:</w:t>
      </w:r>
      <w:r w:rsidRPr="00527A07">
        <w:rPr>
          <w:rFonts w:ascii="Georgia" w:eastAsia="Georgia" w:hAnsi="Georgia" w:cs="Georgia"/>
          <w:sz w:val="24"/>
          <w:szCs w:val="24"/>
        </w:rPr>
        <w:t xml:space="preserve">  </w:t>
      </w:r>
    </w:p>
    <w:p w:rsidR="00527A07" w:rsidRPr="00527A07" w:rsidRDefault="00527A07">
      <w:pPr>
        <w:spacing w:after="0"/>
        <w:ind w:left="-5" w:hanging="10"/>
        <w:rPr>
          <w:rFonts w:ascii="Georgia" w:hAnsi="Georgia"/>
          <w:sz w:val="24"/>
          <w:szCs w:val="24"/>
        </w:rPr>
      </w:pPr>
    </w:p>
    <w:p w:rsidR="00CF12D6" w:rsidRPr="00527A07" w:rsidRDefault="00527A07">
      <w:pPr>
        <w:spacing w:after="0"/>
        <w:rPr>
          <w:rFonts w:ascii="Georgia" w:hAnsi="Georgia"/>
          <w:sz w:val="24"/>
          <w:szCs w:val="24"/>
        </w:rPr>
      </w:pPr>
      <w:r w:rsidRPr="00527A07">
        <w:rPr>
          <w:rFonts w:ascii="Georgia" w:eastAsia="Georgia" w:hAnsi="Georgia" w:cs="Georgia"/>
          <w:sz w:val="24"/>
          <w:szCs w:val="24"/>
        </w:rPr>
        <w:t>We recommend $10M per year (scalable) of funding for the next 5 years to implement critical projects that work in concert with energy performance contracts (EPC) and/or energy focused capital projects. EPC contracts are fulfilled by specialized, accredited firms known as energy service companies. The university uses EPCs to manage complex projects targeting facilities with high energy use, such as laboratories, maximizing energy efficiency and addressing sizable volumes of deferred maintenance issues along the way. The campus backlog on deferred maintenance is approaching $1 billion.</w:t>
      </w:r>
      <w:r w:rsidRPr="00527A07">
        <w:rPr>
          <w:rFonts w:ascii="Georgia" w:eastAsia="Georgia" w:hAnsi="Georgia" w:cs="Georgia"/>
          <w:sz w:val="24"/>
          <w:szCs w:val="24"/>
        </w:rPr>
        <w:t xml:space="preserve"> </w:t>
      </w:r>
    </w:p>
    <w:p w:rsidR="00CF12D6" w:rsidRPr="00527A07" w:rsidRDefault="00527A07">
      <w:pPr>
        <w:spacing w:after="0"/>
        <w:rPr>
          <w:rFonts w:ascii="Georgia" w:hAnsi="Georgia"/>
          <w:sz w:val="24"/>
          <w:szCs w:val="24"/>
        </w:rPr>
      </w:pPr>
      <w:r w:rsidRPr="00527A07">
        <w:rPr>
          <w:rFonts w:ascii="Georgia" w:eastAsia="Georgia" w:hAnsi="Georgia" w:cs="Georgia"/>
          <w:sz w:val="24"/>
          <w:szCs w:val="24"/>
        </w:rPr>
        <w:t xml:space="preserve"> </w:t>
      </w:r>
    </w:p>
    <w:p w:rsidR="00CF12D6" w:rsidRPr="00527A07" w:rsidRDefault="00527A07">
      <w:pPr>
        <w:spacing w:after="0"/>
        <w:ind w:left="-5" w:hanging="10"/>
        <w:rPr>
          <w:rFonts w:ascii="Georgia" w:hAnsi="Georgia"/>
          <w:sz w:val="24"/>
          <w:szCs w:val="24"/>
        </w:rPr>
      </w:pPr>
      <w:proofErr w:type="spellStart"/>
      <w:r w:rsidRPr="00527A07">
        <w:rPr>
          <w:rFonts w:ascii="Georgia" w:eastAsia="Georgia" w:hAnsi="Georgia" w:cs="Georgia"/>
          <w:b/>
          <w:sz w:val="24"/>
          <w:szCs w:val="24"/>
        </w:rPr>
        <w:t>iWG</w:t>
      </w:r>
      <w:proofErr w:type="spellEnd"/>
      <w:r w:rsidRPr="00527A07">
        <w:rPr>
          <w:rFonts w:ascii="Georgia" w:eastAsia="Georgia" w:hAnsi="Georgia" w:cs="Georgia"/>
          <w:b/>
          <w:sz w:val="24"/>
          <w:szCs w:val="24"/>
        </w:rPr>
        <w:t xml:space="preserve"> Assessment of budget and policy impacts (</w:t>
      </w:r>
      <w:r w:rsidRPr="00527A07">
        <w:rPr>
          <w:rFonts w:ascii="Georgia" w:eastAsia="Georgia" w:hAnsi="Georgia" w:cs="Georgia"/>
          <w:b/>
          <w:i/>
          <w:sz w:val="24"/>
          <w:szCs w:val="24"/>
        </w:rPr>
        <w:t>check one</w:t>
      </w:r>
      <w:r w:rsidRPr="00527A07">
        <w:rPr>
          <w:rFonts w:ascii="Georgia" w:eastAsia="Georgia" w:hAnsi="Georgia" w:cs="Georgia"/>
          <w:b/>
          <w:sz w:val="24"/>
          <w:szCs w:val="24"/>
        </w:rPr>
        <w:t xml:space="preserve">): </w:t>
      </w:r>
    </w:p>
    <w:p w:rsidR="00527A07" w:rsidRPr="00527A07" w:rsidRDefault="00527A07" w:rsidP="00527A07">
      <w:pPr>
        <w:spacing w:after="0"/>
        <w:rPr>
          <w:rFonts w:ascii="Georgia" w:hAnsi="Georgia"/>
          <w:sz w:val="24"/>
          <w:szCs w:val="24"/>
        </w:rPr>
      </w:pPr>
      <w:r w:rsidRPr="00527A07">
        <w:rPr>
          <w:rFonts w:ascii="Georgia" w:eastAsia="Georgia" w:hAnsi="Georgia" w:cs="Georgia"/>
          <w:sz w:val="24"/>
          <w:szCs w:val="24"/>
        </w:rPr>
        <w:t xml:space="preserve"> </w:t>
      </w:r>
    </w:p>
    <w:p w:rsidR="00527A07" w:rsidRPr="00347CA3" w:rsidRDefault="00527A07" w:rsidP="00527A07">
      <w:pPr>
        <w:spacing w:after="0" w:line="240" w:lineRule="auto"/>
        <w:rPr>
          <w:rFonts w:ascii="Georgia" w:hAnsi="Georgia" w:cs="Times New Roman"/>
        </w:rPr>
      </w:pPr>
      <w:r w:rsidRPr="00347CA3">
        <w:rPr>
          <w:rFonts w:ascii="Georgia" w:hAnsi="Georgia" w:cs="Times New Roman"/>
        </w:rPr>
        <w:t xml:space="preserve"> </w:t>
      </w:r>
      <w:r w:rsidRPr="00347CA3">
        <w:rPr>
          <w:rFonts w:ascii="Georgia" w:hAnsi="Georgia" w:cs="Times New Roman"/>
          <w:u w:val="single"/>
        </w:rPr>
        <w:t xml:space="preserve">         </w:t>
      </w:r>
      <w:r w:rsidRPr="00347CA3">
        <w:rPr>
          <w:rFonts w:ascii="Georgia" w:hAnsi="Georgia" w:cs="Times New Roman"/>
        </w:rPr>
        <w:t xml:space="preserve"> moderate budget and/or policy impact   </w:t>
      </w:r>
      <w:r w:rsidRPr="00347CA3">
        <w:rPr>
          <w:rFonts w:ascii="Georgia" w:hAnsi="Georgia" w:cs="Times New Roman"/>
          <w:szCs w:val="24"/>
        </w:rPr>
        <w:tab/>
      </w:r>
      <w:r w:rsidRPr="00347CA3">
        <w:rPr>
          <w:rFonts w:ascii="Georgia" w:hAnsi="Georgia" w:cs="Times New Roman"/>
        </w:rPr>
        <w:t xml:space="preserve">OR </w:t>
      </w:r>
      <w:r w:rsidRPr="00347CA3">
        <w:rPr>
          <w:rFonts w:ascii="Georgia" w:hAnsi="Georgia" w:cs="Times New Roman"/>
          <w:szCs w:val="24"/>
        </w:rPr>
        <w:t xml:space="preserve"> </w:t>
      </w:r>
      <w:r w:rsidRPr="00347CA3">
        <w:rPr>
          <w:rFonts w:ascii="Georgia" w:hAnsi="Georgia" w:cs="Times New Roman"/>
          <w:szCs w:val="24"/>
          <w:u w:val="single"/>
        </w:rPr>
        <w:t xml:space="preserve">    X    </w:t>
      </w:r>
      <w:r w:rsidRPr="00347CA3">
        <w:rPr>
          <w:rFonts w:ascii="Georgia" w:hAnsi="Georgia" w:cs="Times New Roman"/>
          <w:szCs w:val="24"/>
        </w:rPr>
        <w:t xml:space="preserve"> </w:t>
      </w:r>
      <w:r w:rsidRPr="00347CA3">
        <w:rPr>
          <w:rFonts w:ascii="Georgia" w:hAnsi="Georgia" w:cs="Times New Roman"/>
        </w:rPr>
        <w:t>major budget and/or policy implications</w:t>
      </w:r>
    </w:p>
    <w:p w:rsidR="00527A07" w:rsidRPr="00347CA3" w:rsidRDefault="00527A07" w:rsidP="00527A07">
      <w:pPr>
        <w:spacing w:after="0" w:line="240" w:lineRule="auto"/>
        <w:rPr>
          <w:rFonts w:ascii="Georgia" w:hAnsi="Georgia" w:cs="Times New Roman"/>
          <w:szCs w:val="24"/>
        </w:rPr>
      </w:pPr>
    </w:p>
    <w:p w:rsidR="00527A07" w:rsidRPr="00347CA3" w:rsidRDefault="00527A07" w:rsidP="00527A07">
      <w:pPr>
        <w:spacing w:after="0" w:line="240" w:lineRule="auto"/>
        <w:rPr>
          <w:rFonts w:ascii="Georgia" w:hAnsi="Georgia" w:cs="Times New Roman"/>
          <w:szCs w:val="24"/>
        </w:rPr>
      </w:pPr>
    </w:p>
    <w:p w:rsidR="00527A07" w:rsidRPr="00347CA3" w:rsidRDefault="00527A07" w:rsidP="00527A07">
      <w:pPr>
        <w:spacing w:after="0" w:line="240" w:lineRule="auto"/>
        <w:rPr>
          <w:rFonts w:ascii="Georgia" w:hAnsi="Georgia" w:cs="Times New Roman"/>
          <w:b/>
          <w:szCs w:val="24"/>
        </w:rPr>
      </w:pPr>
      <w:proofErr w:type="spellStart"/>
      <w:r w:rsidRPr="00347CA3">
        <w:rPr>
          <w:rFonts w:ascii="Georgia" w:hAnsi="Georgia" w:cs="Times New Roman"/>
          <w:b/>
          <w:szCs w:val="24"/>
        </w:rPr>
        <w:t>iWG</w:t>
      </w:r>
      <w:proofErr w:type="spellEnd"/>
      <w:r w:rsidRPr="00347CA3">
        <w:rPr>
          <w:rFonts w:ascii="Georgia" w:hAnsi="Georgia" w:cs="Times New Roman"/>
          <w:b/>
          <w:szCs w:val="24"/>
        </w:rPr>
        <w:t xml:space="preserve"> Routing Need (</w:t>
      </w:r>
      <w:r w:rsidRPr="00347CA3">
        <w:rPr>
          <w:rFonts w:ascii="Georgia" w:hAnsi="Georgia" w:cs="Times New Roman"/>
          <w:b/>
          <w:i/>
          <w:szCs w:val="24"/>
        </w:rPr>
        <w:t>check one</w:t>
      </w:r>
      <w:r w:rsidRPr="00347CA3">
        <w:rPr>
          <w:rFonts w:ascii="Georgia" w:hAnsi="Georgia" w:cs="Times New Roman"/>
          <w:b/>
          <w:szCs w:val="24"/>
        </w:rPr>
        <w:t>):</w:t>
      </w:r>
    </w:p>
    <w:p w:rsidR="00527A07" w:rsidRPr="00347CA3" w:rsidRDefault="00527A07" w:rsidP="00527A07">
      <w:pPr>
        <w:spacing w:after="0" w:line="240" w:lineRule="auto"/>
        <w:rPr>
          <w:rFonts w:ascii="Georgia" w:hAnsi="Georgia" w:cs="Times New Roman"/>
          <w:szCs w:val="24"/>
        </w:rPr>
      </w:pPr>
    </w:p>
    <w:p w:rsidR="00527A07" w:rsidRPr="00347CA3" w:rsidRDefault="00527A07" w:rsidP="00527A07">
      <w:pPr>
        <w:spacing w:after="0" w:line="240" w:lineRule="auto"/>
        <w:rPr>
          <w:rFonts w:ascii="Georgia" w:hAnsi="Georgia" w:cs="Times New Roman"/>
        </w:rPr>
      </w:pPr>
      <w:r w:rsidRPr="00347CA3">
        <w:rPr>
          <w:rFonts w:ascii="Georgia" w:hAnsi="Georgia" w:cs="Times New Roman"/>
        </w:rPr>
        <w:t xml:space="preserve">_____ more detailed study   OR ____ transmit recommendation    OR </w:t>
      </w:r>
      <w:r w:rsidRPr="00347CA3">
        <w:rPr>
          <w:rFonts w:ascii="Georgia" w:hAnsi="Georgia" w:cs="Times New Roman"/>
          <w:u w:val="single"/>
        </w:rPr>
        <w:t xml:space="preserve">  </w:t>
      </w:r>
      <w:proofErr w:type="gramStart"/>
      <w:r w:rsidRPr="00347CA3">
        <w:rPr>
          <w:rFonts w:ascii="Georgia" w:hAnsi="Georgia" w:cs="Times New Roman"/>
          <w:u w:val="single"/>
        </w:rPr>
        <w:t xml:space="preserve">X  </w:t>
      </w:r>
      <w:r w:rsidRPr="00347CA3">
        <w:rPr>
          <w:rFonts w:ascii="Georgia" w:hAnsi="Georgia" w:cs="Times New Roman"/>
        </w:rPr>
        <w:t>forward</w:t>
      </w:r>
      <w:proofErr w:type="gramEnd"/>
      <w:r w:rsidRPr="00347CA3">
        <w:rPr>
          <w:rFonts w:ascii="Georgia" w:hAnsi="Georgia" w:cs="Times New Roman"/>
        </w:rPr>
        <w:t xml:space="preserve"> to Sustainability Council</w:t>
      </w:r>
    </w:p>
    <w:p w:rsidR="00CF12D6" w:rsidRPr="00527A07" w:rsidRDefault="00CF12D6" w:rsidP="00527A07">
      <w:pPr>
        <w:tabs>
          <w:tab w:val="center" w:pos="5214"/>
          <w:tab w:val="right" w:pos="10800"/>
        </w:tabs>
        <w:spacing w:after="0" w:line="248" w:lineRule="auto"/>
        <w:ind w:left="-15"/>
        <w:rPr>
          <w:rFonts w:ascii="Georgia" w:hAnsi="Georgia"/>
          <w:sz w:val="24"/>
          <w:szCs w:val="24"/>
        </w:rPr>
      </w:pPr>
      <w:bookmarkStart w:id="0" w:name="_GoBack"/>
      <w:bookmarkEnd w:id="0"/>
    </w:p>
    <w:sectPr w:rsidR="00CF12D6" w:rsidRPr="00527A07">
      <w:pgSz w:w="12240" w:h="15840"/>
      <w:pgMar w:top="725" w:right="720" w:bottom="8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D6"/>
    <w:rsid w:val="00527A07"/>
    <w:rsid w:val="00CF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0EB4"/>
  <w15:docId w15:val="{7A754E17-90CD-42D1-9ED4-1A979F84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59"/>
    <w:rsid w:val="00527A0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Johnston</dc:creator>
  <cp:keywords/>
  <cp:lastModifiedBy>Moore, Meredith Kaye</cp:lastModifiedBy>
  <cp:revision>2</cp:revision>
  <dcterms:created xsi:type="dcterms:W3CDTF">2021-04-19T18:49:00Z</dcterms:created>
  <dcterms:modified xsi:type="dcterms:W3CDTF">2021-04-19T18:49:00Z</dcterms:modified>
</cp:coreProperties>
</file>