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Energy SWATeam Meeting Minutes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April 22, 2020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1:00PM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Via Zoom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In attendance:</w:t>
      </w:r>
      <w:r w:rsidDel="00000000" w:rsidR="00000000" w:rsidRPr="00000000">
        <w:rPr>
          <w:rtl w:val="0"/>
        </w:rPr>
        <w:t xml:space="preserve"> Andy Stumpf, Bill Rose, Tim Mies, David Rivera-Kohr, Marcela Vega, Mike Larson, Jayce Carlson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Could not attend:</w:t>
      </w:r>
      <w:r w:rsidDel="00000000" w:rsidR="00000000" w:rsidRPr="00000000">
        <w:rPr>
          <w:rtl w:val="0"/>
        </w:rPr>
        <w:t xml:space="preserve"> Tugce Baser, Yun Kyu Yi, Dave Boehm, Karl Helmink, Meredith Moore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Notes: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Update from Bill Rose on his meeting with Morgan White: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Draft Objectives drawn up by the Energy SWATeam would serve as the first draft for the upcoming 2020 Energy Chapter objectives, 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Morgan White would distribute these draft objectives to all the stakeholders for their written comments,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The Energy SWATeam would then engage in discussions with stakeholders to complete the final set of objectives.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David Rivera-Kohr’s presentation at the iCAP Forum on April 23, 2020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Based on latest draft of objectives sent from the iWG on April 09, 2020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It is the presentation of a draft of objectives to the public to introduce them to the iCAP 2020 document. Changes to the objectives can be made after the forum.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