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72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January 31, 2020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Location: </w:t>
      </w:r>
      <w:r w:rsidDel="00000000" w:rsidR="00000000" w:rsidRPr="00000000">
        <w:rPr>
          <w:rtl w:val="0"/>
        </w:rPr>
        <w:t xml:space="preserve">1810 Facilities and Services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Morgan White, Meredith Moore, Scott Tess, Warren Lavey, Lisa Merrifield, Sally McConkey, Lauren DeCarll, Sowmiya Raju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Could not attend: </w:t>
      </w:r>
      <w:r w:rsidDel="00000000" w:rsidR="00000000" w:rsidRPr="00000000">
        <w:rPr>
          <w:rtl w:val="0"/>
        </w:rPr>
        <w:t xml:space="preserve">Jayce Carlson, Ximing Cai, Dennis Donaldson, Lacey Raines Lowe, Rita Morocoima-Black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Progress on iCAP 2020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Currently: 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iWG is going over each chapter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Jenna Kurtzweil, iSEE Communications Specialist, is compiling all the information (introduction, objectives etc.) currently available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NRES 285 students are contributing their ideas to the iCAP 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February Student Input Session on Monday, February 3: will include discussions on the draft objectives turned in by each SWATeam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RWATeam’s current stage: Drafting recommendations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Review and discussion on the first draft of Resilience chapter of the 2020 iCAP will take place in the RWAT March 2020 meeting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Recommendations Process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The process: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 recommendation is drafted by the committee or an individual on the committee. Each individual has their comments included on each recommendation.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Recommendations are sent to and discussed at iWG.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Each iWG member discusses the recommendation with their unit/department; each member includes their comments on behalf of their unit/department.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If approved, moderate budget recommendations are sent directly to the respective unit and major budget recommendations are sent to the Sustainability Council. 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Where will the RWATeam recommendations be drawn from?: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2015 iCAP chapters of other SWATeams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RWAT 2020 iCAP draft objectives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Figure out what the process for approval would be within the cities for adopting the recommendations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Draft a proclamation for the university and city officials to sign 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Immediately inform both city officials of the tentative date for signing of proclamation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potential recommendations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Biodiversity plan: Since the plan is already in motion, a recommendation would be unnecessary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Recommendation to the Natural Resources and Environmental Sciences department to conduct a social vulnerability assessment in Champaign county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Champaign county has a program that pays the homeless to pick up litter. Recommend campus to work with them to pick up litter after large university events such as football games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Recommend that Vision Zero at the university and Urbana join their efforts. Look into the presence of Vision Zero programs in Champaign and Savoy.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Recommend the university to adopt the Champaign County Hazard Mitigation Plan. There is a university representative on the planning commission.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Recommend that university departments such as NRES and GEOG use Champaign county as a resource/lab for their studies and courses. The results of these courses should be stored in a public/general database that can be accessed by the communities and the university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Contact Champaign County GIS Consortium for county-wide storage of data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Give faculty at the university an entry-point for working with the cities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into who the campus representative on the county hazard mitigation planning commision is (Refer 3e)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Draft recommendation - University adoption of Champaign County Hazard Mitigation (Refer 3e)</w:t>
      </w:r>
    </w:p>
    <w:p w:rsidR="00000000" w:rsidDel="00000000" w:rsidP="00000000" w:rsidRDefault="00000000" w:rsidRPr="00000000" w14:paraId="00000029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