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Energy SWATeam Meeting</w:t>
      </w:r>
    </w:p>
    <w:p w:rsidR="00000000" w:rsidDel="00000000" w:rsidP="00000000" w:rsidRDefault="00000000" w:rsidRPr="00000000" w14:paraId="00000002">
      <w:pPr>
        <w:rPr/>
      </w:pPr>
      <w:r w:rsidDel="00000000" w:rsidR="00000000" w:rsidRPr="00000000">
        <w:rPr>
          <w:b w:val="1"/>
          <w:rtl w:val="0"/>
        </w:rPr>
        <w:t xml:space="preserve">Date:</w:t>
      </w:r>
      <w:r w:rsidDel="00000000" w:rsidR="00000000" w:rsidRPr="00000000">
        <w:rPr>
          <w:rtl w:val="0"/>
        </w:rPr>
        <w:t xml:space="preserve"> December 5, 2019</w:t>
      </w:r>
    </w:p>
    <w:p w:rsidR="00000000" w:rsidDel="00000000" w:rsidP="00000000" w:rsidRDefault="00000000" w:rsidRPr="00000000" w14:paraId="00000003">
      <w:pPr>
        <w:rPr/>
      </w:pPr>
      <w:r w:rsidDel="00000000" w:rsidR="00000000" w:rsidRPr="00000000">
        <w:rPr>
          <w:b w:val="1"/>
          <w:rtl w:val="0"/>
        </w:rPr>
        <w:t xml:space="preserve">Time: </w:t>
      </w:r>
      <w:r w:rsidDel="00000000" w:rsidR="00000000" w:rsidRPr="00000000">
        <w:rPr>
          <w:rtl w:val="0"/>
        </w:rPr>
        <w:t xml:space="preserve">1:00PM</w:t>
      </w:r>
    </w:p>
    <w:p w:rsidR="00000000" w:rsidDel="00000000" w:rsidP="00000000" w:rsidRDefault="00000000" w:rsidRPr="00000000" w14:paraId="00000004">
      <w:pPr>
        <w:rPr/>
      </w:pPr>
      <w:r w:rsidDel="00000000" w:rsidR="00000000" w:rsidRPr="00000000">
        <w:rPr>
          <w:b w:val="1"/>
          <w:rtl w:val="0"/>
        </w:rPr>
        <w:t xml:space="preserve">Attendees:</w:t>
      </w:r>
      <w:r w:rsidDel="00000000" w:rsidR="00000000" w:rsidRPr="00000000">
        <w:rPr>
          <w:rtl w:val="0"/>
        </w:rPr>
        <w:t xml:space="preserve"> Bill Rose (Co-chair), Andrew Stumpf (Co-chair), Sowmiya Raju (Clerk), Karl Helmink, Yun Kyu Yi, David Rivera-Kohr, Tugce Baser, Mike Reiter</w:t>
      </w:r>
    </w:p>
    <w:p w:rsidR="00000000" w:rsidDel="00000000" w:rsidP="00000000" w:rsidRDefault="00000000" w:rsidRPr="00000000" w14:paraId="00000005">
      <w:pPr>
        <w:rPr/>
      </w:pPr>
      <w:r w:rsidDel="00000000" w:rsidR="00000000" w:rsidRPr="00000000">
        <w:rPr>
          <w:b w:val="1"/>
          <w:rtl w:val="0"/>
        </w:rPr>
        <w:t xml:space="preserve">Could not attend:</w:t>
      </w:r>
      <w:r w:rsidDel="00000000" w:rsidR="00000000" w:rsidRPr="00000000">
        <w:rPr>
          <w:rtl w:val="0"/>
        </w:rPr>
        <w:t xml:space="preserve"> Tim Mies, Dave Boehm, Meredith Moore, Morgan White, Ximing Cai, Keun Jang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December 12: </w:t>
      </w:r>
    </w:p>
    <w:p w:rsidR="00000000" w:rsidDel="00000000" w:rsidP="00000000" w:rsidRDefault="00000000" w:rsidRPr="00000000" w14:paraId="0000000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 to iWG comments</w:t>
      </w:r>
    </w:p>
    <w:p w:rsidR="00000000" w:rsidDel="00000000" w:rsidP="00000000" w:rsidRDefault="00000000" w:rsidRPr="00000000" w14:paraId="0000000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 objectives</w:t>
      </w:r>
    </w:p>
    <w:p w:rsidR="00000000" w:rsidDel="00000000" w:rsidP="00000000" w:rsidRDefault="00000000" w:rsidRPr="00000000" w14:paraId="0000000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Reformat objectives (2015 iCAP format)</w:t>
      </w:r>
    </w:p>
    <w:p w:rsidR="00000000" w:rsidDel="00000000" w:rsidP="00000000" w:rsidRDefault="00000000" w:rsidRPr="00000000" w14:paraId="0000000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for Measurability</w:t>
      </w:r>
    </w:p>
    <w:p w:rsidR="00000000" w:rsidDel="00000000" w:rsidP="00000000" w:rsidRDefault="00000000" w:rsidRPr="00000000" w14:paraId="0000000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Suggestions for what to include in chapter introduction</w:t>
      </w:r>
    </w:p>
    <w:p w:rsidR="00000000" w:rsidDel="00000000" w:rsidP="00000000" w:rsidRDefault="00000000" w:rsidRPr="00000000" w14:paraId="0000000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of Campus</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Input Session Suggestions</w:t>
      </w:r>
    </w:p>
    <w:p w:rsidR="00000000" w:rsidDel="00000000" w:rsidP="00000000" w:rsidRDefault="00000000" w:rsidRPr="00000000" w14:paraId="0000000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Possibly include in objectives: </w:t>
      </w:r>
    </w:p>
    <w:p w:rsidR="00000000" w:rsidDel="00000000" w:rsidP="00000000" w:rsidRDefault="00000000" w:rsidRPr="00000000" w14:paraId="0000001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Regulate electricity usage in dorms (cap for students)</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Responses to iWG CommentsWhat UI classes exist now to teach energy modeling?</w:t>
      </w:r>
    </w:p>
    <w:p w:rsidR="00000000" w:rsidDel="00000000" w:rsidP="00000000" w:rsidRDefault="00000000" w:rsidRPr="00000000" w14:paraId="00000012">
      <w:pPr>
        <w:numPr>
          <w:ilvl w:val="1"/>
          <w:numId w:val="1"/>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UI classes exist that teach Building Energy Modeling?</w:t>
      </w:r>
    </w:p>
    <w:p w:rsidR="00000000" w:rsidDel="00000000" w:rsidP="00000000" w:rsidRDefault="00000000" w:rsidRPr="00000000" w14:paraId="00000013">
      <w:pPr>
        <w:numPr>
          <w:ilvl w:val="2"/>
          <w:numId w:val="1"/>
        </w:numP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Following courses offers regular tutorials on how to use whole building energy simulation tool. Arch 594 SIM and Arch 576 HighPerformance Bldg Design. Arch 594 used OpenStudio and Sketchup to model and analysis energy use of example buildings and Arch 576, used two campus buildings for energy analysis.</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Utility Reports cards:</w:t>
      </w:r>
    </w:p>
    <w:p w:rsidR="00000000" w:rsidDel="00000000" w:rsidP="00000000" w:rsidRDefault="00000000" w:rsidRPr="00000000" w14:paraId="00000015">
      <w:pPr>
        <w:numPr>
          <w:ilvl w:val="2"/>
          <w:numId w:val="1"/>
        </w:numPr>
        <w:ind w:left="2160" w:hanging="360"/>
        <w:rPr>
          <w:rFonts w:ascii="Roboto" w:cs="Roboto" w:eastAsia="Roboto" w:hAnsi="Roboto"/>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campus should look into current utility report cards and communicate with stakeholders to find out what additional information is needed to develop </w:t>
      </w:r>
      <w:r w:rsidDel="00000000" w:rsidR="00000000" w:rsidRPr="00000000">
        <w:rPr>
          <w:rFonts w:ascii="Times New Roman" w:cs="Times New Roman" w:eastAsia="Times New Roman" w:hAnsi="Times New Roman"/>
          <w:sz w:val="24"/>
          <w:szCs w:val="24"/>
          <w:rtl w:val="0"/>
        </w:rPr>
        <w:t xml:space="preserve">strategies to reduce energy consumption and improve energy efficiency</w:t>
      </w:r>
      <w:r w:rsidDel="00000000" w:rsidR="00000000" w:rsidRPr="00000000">
        <w:rPr>
          <w:rFonts w:ascii="Times New Roman" w:cs="Times New Roman" w:eastAsia="Times New Roman" w:hAnsi="Times New Roman"/>
          <w:sz w:val="24"/>
          <w:szCs w:val="24"/>
          <w:highlight w:val="white"/>
          <w:rtl w:val="0"/>
        </w:rPr>
        <w:t xml:space="preserve">. Based on the findings, strategize how report cards can be customized to support and provide information to reduce utility bills.</w:t>
      </w:r>
      <w:r w:rsidDel="00000000" w:rsidR="00000000" w:rsidRPr="00000000">
        <w:rPr>
          <w:rtl w:val="0"/>
        </w:rPr>
      </w:r>
    </w:p>
    <w:p w:rsidR="00000000" w:rsidDel="00000000" w:rsidP="00000000" w:rsidRDefault="00000000" w:rsidRPr="00000000" w14:paraId="00000016">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with Education SWATeam to hold listening sessions</w:t>
      </w:r>
    </w:p>
    <w:p w:rsidR="00000000" w:rsidDel="00000000" w:rsidP="00000000" w:rsidRDefault="00000000" w:rsidRPr="00000000" w14:paraId="00000017">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Apply building envelope retrofits to atleast 5 campus buildings by 2025 (instead of 2022).</w:t>
      </w:r>
    </w:p>
    <w:p w:rsidR="00000000" w:rsidDel="00000000" w:rsidP="00000000" w:rsidRDefault="00000000" w:rsidRPr="00000000" w14:paraId="00000018">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Include: “</w:t>
      </w:r>
      <w:r w:rsidDel="00000000" w:rsidR="00000000" w:rsidRPr="00000000">
        <w:rPr>
          <w:rFonts w:ascii="Times New Roman" w:cs="Times New Roman" w:eastAsia="Times New Roman" w:hAnsi="Times New Roman"/>
          <w:sz w:val="24"/>
          <w:szCs w:val="24"/>
          <w:highlight w:val="white"/>
          <w:rtl w:val="0"/>
        </w:rPr>
        <w:t xml:space="preserve">Complete a large-scale energy conservation project (such as RCx or Energy Performance Contracting) in 50% of the university-owned buildings over 50,000 GSF within the University District by FY25 and 100% by FY40.</w:t>
      </w:r>
      <w:r w:rsidDel="00000000" w:rsidR="00000000" w:rsidRPr="00000000">
        <w:rPr>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