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left="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Energy SWATeam Responses to iWG Comments</w:t>
      </w:r>
    </w:p>
    <w:p w:rsidR="00000000" w:rsidDel="00000000" w:rsidP="00000000" w:rsidRDefault="00000000" w:rsidRPr="00000000" w14:paraId="00000002">
      <w:pPr>
        <w:spacing w:line="276" w:lineRule="auto"/>
        <w:ind w:left="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iWG feedback has been incorporated in the form of changes to the objectives. </w:t>
      </w:r>
    </w:p>
    <w:p w:rsidR="00000000" w:rsidDel="00000000" w:rsidP="00000000" w:rsidRDefault="00000000" w:rsidRPr="00000000" w14:paraId="00000004">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other comments the SWATeam has provided a response below. </w:t>
      </w:r>
    </w:p>
    <w:p w:rsidR="00000000" w:rsidDel="00000000" w:rsidP="00000000" w:rsidRDefault="00000000" w:rsidRPr="00000000" w14:paraId="00000005">
      <w:pPr>
        <w:spacing w:line="276"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Comments</w:t>
      </w:r>
    </w:p>
    <w:p w:rsidR="00000000" w:rsidDel="00000000" w:rsidP="00000000" w:rsidRDefault="00000000" w:rsidRPr="00000000" w14:paraId="00000007">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 word “energy” was intentional wherever used in the document.</w:t>
      </w:r>
    </w:p>
    <w:p w:rsidR="00000000" w:rsidDel="00000000" w:rsidP="00000000" w:rsidRDefault="00000000" w:rsidRPr="00000000" w14:paraId="00000008">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SWATeam does not currently support privatization of energy infrastructure assets. There are other mechanisms (e.g., Energy Savings Performance Contracts with ESCOs) to achieve the same objectives.</w:t>
      </w:r>
    </w:p>
    <w:p w:rsidR="00000000" w:rsidDel="00000000" w:rsidP="00000000" w:rsidRDefault="00000000" w:rsidRPr="00000000" w14:paraId="00000009">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tax and campus divestment from fossil fuels: The SWATeam unanimously agrees that these issues should be addressed by the iWG and the administration. The Energy SWATeam is responsible for addressing issues concerning energy generation, conservation, and building standards. Topics involving policy and budgetary decisions are beyond this SWATeams’s purview.</w:t>
      </w:r>
    </w:p>
    <w:p w:rsidR="00000000" w:rsidDel="00000000" w:rsidP="00000000" w:rsidRDefault="00000000" w:rsidRPr="00000000" w14:paraId="0000000A">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Solar farms and geothermal energy: Already being addressed by Campus.</w:t>
      </w:r>
    </w:p>
    <w:p w:rsidR="00000000" w:rsidDel="00000000" w:rsidP="00000000" w:rsidRDefault="00000000" w:rsidRPr="00000000" w14:paraId="0000000B">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 Farms: Past discussions and investigations by Campus and the Champaign-Urbana community have shown opposition to the traditional “wind turbine”. Campus should therefore consider small wind energy technologies that do not have the same footprints or impacts to adjacent landowners. For example, the technology could be tailored to specific applications at the building level.</w:t>
      </w:r>
    </w:p>
    <w:p w:rsidR="00000000" w:rsidDel="00000000" w:rsidP="00000000" w:rsidRDefault="00000000" w:rsidRPr="00000000" w14:paraId="0000000C">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Decommissioning of Abbott: Unlikely without significant deviation from the current Utilities Master Plan.</w:t>
      </w:r>
    </w:p>
    <w:p w:rsidR="00000000" w:rsidDel="00000000" w:rsidP="00000000" w:rsidRDefault="00000000" w:rsidRPr="00000000" w14:paraId="0000000D">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Master Plan </w:t>
      </w:r>
    </w:p>
    <w:p w:rsidR="00000000" w:rsidDel="00000000" w:rsidP="00000000" w:rsidRDefault="00000000" w:rsidRPr="00000000" w14:paraId="0000000E">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SWATeam is investigating ways to work with Facilities and Services (F&amp;S) to discuss how our objectives and recommendations can be addressed in the Energy Master Plan.</w:t>
      </w:r>
    </w:p>
    <w:p w:rsidR="00000000" w:rsidDel="00000000" w:rsidP="00000000" w:rsidRDefault="00000000" w:rsidRPr="00000000" w14:paraId="0000000F">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Targets</w:t>
      </w:r>
    </w:p>
    <w:p w:rsidR="00000000" w:rsidDel="00000000" w:rsidP="00000000" w:rsidRDefault="00000000" w:rsidRPr="00000000" w14:paraId="00000010">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targets should be part of the Energy Master Plan.</w:t>
      </w:r>
    </w:p>
    <w:p w:rsidR="00000000" w:rsidDel="00000000" w:rsidP="00000000" w:rsidRDefault="00000000" w:rsidRPr="00000000" w14:paraId="00000011">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Demand</w:t>
      </w:r>
    </w:p>
    <w:p w:rsidR="00000000" w:rsidDel="00000000" w:rsidP="00000000" w:rsidRDefault="00000000" w:rsidRPr="00000000" w14:paraId="00000012">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Limiting square footage: The SWATeam suggests F&amp;S change the methodology for allocating energy to existing and new building space. For example, Campus should lower the baseline energy allocation to new buildings.</w:t>
      </w:r>
    </w:p>
    <w:p w:rsidR="00000000" w:rsidDel="00000000" w:rsidP="00000000" w:rsidRDefault="00000000" w:rsidRPr="00000000" w14:paraId="00000013">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SWATeam recommends continuing and expanding the ESCO and retro-commissioning programs. Also, there should be a focus on building envelopes to capture additional energy efficiencies.</w:t>
      </w:r>
    </w:p>
    <w:p w:rsidR="00000000" w:rsidDel="00000000" w:rsidP="00000000" w:rsidRDefault="00000000" w:rsidRPr="00000000" w14:paraId="00000014">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Energy Modeling</w:t>
      </w:r>
    </w:p>
    <w:p w:rsidR="00000000" w:rsidDel="00000000" w:rsidP="00000000" w:rsidRDefault="00000000" w:rsidRPr="00000000" w14:paraId="00000015">
      <w:pPr>
        <w:numPr>
          <w:ilvl w:val="2"/>
          <w:numId w:val="1"/>
        </w:numPr>
        <w:spacing w:line="276" w:lineRule="auto"/>
        <w:ind w:left="2268" w:hanging="468.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classes exist now that teach energy modeling?</w:t>
      </w:r>
    </w:p>
    <w:p w:rsidR="00000000" w:rsidDel="00000000" w:rsidP="00000000" w:rsidRDefault="00000000" w:rsidRPr="00000000" w14:paraId="00000016">
      <w:pPr>
        <w:spacing w:line="276" w:lineRule="auto"/>
        <w:ind w:left="2268" w:hanging="470.99999999999994"/>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following sustainability and energy modeling courses are currently offered at UIUC:</w:t>
      </w:r>
    </w:p>
    <w:p w:rsidR="00000000" w:rsidDel="00000000" w:rsidP="00000000" w:rsidRDefault="00000000" w:rsidRPr="00000000" w14:paraId="00000017">
      <w:pPr>
        <w:tabs>
          <w:tab w:val="left" w:pos="2694"/>
        </w:tabs>
        <w:spacing w:line="276" w:lineRule="auto"/>
        <w:ind w:left="2410" w:hanging="470.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t xml:space="preserve">1) ARCH 594 </w:t>
      </w:r>
      <w:r w:rsidDel="00000000" w:rsidR="00000000" w:rsidRPr="00000000">
        <w:rPr>
          <w:rFonts w:ascii="Times New Roman" w:cs="Times New Roman" w:eastAsia="Times New Roman" w:hAnsi="Times New Roman"/>
          <w:sz w:val="24"/>
          <w:szCs w:val="24"/>
          <w:rtl w:val="0"/>
        </w:rPr>
        <w:t xml:space="preserve">Spec Prob Building Science and Technology (High-</w:t>
        <w:tab/>
        <w:t xml:space="preserve">Performance Building Design)</w:t>
      </w:r>
    </w:p>
    <w:p w:rsidR="00000000" w:rsidDel="00000000" w:rsidP="00000000" w:rsidRDefault="00000000" w:rsidRPr="00000000" w14:paraId="00000018">
      <w:pPr>
        <w:spacing w:line="276" w:lineRule="auto"/>
        <w:ind w:left="2694" w:hanging="470.99999999999994"/>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hyperlink r:id="rId6">
        <w:r w:rsidDel="00000000" w:rsidR="00000000" w:rsidRPr="00000000">
          <w:rPr>
            <w:rFonts w:ascii="Times New Roman" w:cs="Times New Roman" w:eastAsia="Times New Roman" w:hAnsi="Times New Roman"/>
            <w:color w:val="0000ff"/>
            <w:sz w:val="24"/>
            <w:szCs w:val="24"/>
            <w:u w:val="single"/>
            <w:rtl w:val="0"/>
          </w:rPr>
          <w:t xml:space="preserve">https://courses.illinois.edu/schedule/2020/spring/ARCH/594</w:t>
        </w:r>
      </w:hyperlink>
      <w:r w:rsidDel="00000000" w:rsidR="00000000" w:rsidRPr="00000000">
        <w:rPr>
          <w:rtl w:val="0"/>
        </w:rPr>
      </w:r>
    </w:p>
    <w:p w:rsidR="00000000" w:rsidDel="00000000" w:rsidP="00000000" w:rsidRDefault="00000000" w:rsidRPr="00000000" w14:paraId="00000019">
      <w:pPr>
        <w:spacing w:line="276" w:lineRule="auto"/>
        <w:ind w:left="2410" w:hanging="470.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t xml:space="preserve">2) ARCH 576 </w:t>
      </w:r>
      <w:r w:rsidDel="00000000" w:rsidR="00000000" w:rsidRPr="00000000">
        <w:rPr>
          <w:rFonts w:ascii="Times New Roman" w:cs="Times New Roman" w:eastAsia="Times New Roman" w:hAnsi="Times New Roman"/>
          <w:sz w:val="24"/>
          <w:szCs w:val="24"/>
          <w:rtl w:val="0"/>
        </w:rPr>
        <w:t xml:space="preserve">Architectural Design Seminar</w:t>
      </w:r>
    </w:p>
    <w:p w:rsidR="00000000" w:rsidDel="00000000" w:rsidP="00000000" w:rsidRDefault="00000000" w:rsidRPr="00000000" w14:paraId="0000001A">
      <w:pPr>
        <w:spacing w:line="276" w:lineRule="auto"/>
        <w:ind w:left="2694" w:hanging="470.99999999999994"/>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r>
      <w:hyperlink r:id="rId7">
        <w:r w:rsidDel="00000000" w:rsidR="00000000" w:rsidRPr="00000000">
          <w:rPr>
            <w:rFonts w:ascii="Times New Roman" w:cs="Times New Roman" w:eastAsia="Times New Roman" w:hAnsi="Times New Roman"/>
            <w:color w:val="0000ff"/>
            <w:sz w:val="24"/>
            <w:szCs w:val="24"/>
            <w:u w:val="single"/>
            <w:rtl w:val="0"/>
          </w:rPr>
          <w:t xml:space="preserve">https://courses.illinois.edu/schedule/2020/spring/ARCH/576</w:t>
        </w:r>
      </w:hyperlink>
      <w:r w:rsidDel="00000000" w:rsidR="00000000" w:rsidRPr="00000000">
        <w:rPr>
          <w:rtl w:val="0"/>
        </w:rPr>
      </w:r>
    </w:p>
    <w:p w:rsidR="00000000" w:rsidDel="00000000" w:rsidP="00000000" w:rsidRDefault="00000000" w:rsidRPr="00000000" w14:paraId="0000001B">
      <w:pPr>
        <w:spacing w:line="276" w:lineRule="auto"/>
        <w:ind w:left="2410" w:hanging="470.99999999999994"/>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276" w:lineRule="auto"/>
        <w:ind w:left="0" w:firstLine="720"/>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Students enrolled in ARCH 594 use OpenStudio and Sketchup software to model and analysis energy use of example buildings. ARCH 576 includes p</w:t>
      </w:r>
      <w:r w:rsidDel="00000000" w:rsidR="00000000" w:rsidRPr="00000000">
        <w:rPr>
          <w:rFonts w:ascii="Times New Roman" w:cs="Times New Roman" w:eastAsia="Times New Roman" w:hAnsi="Times New Roman"/>
          <w:sz w:val="24"/>
          <w:szCs w:val="24"/>
          <w:rtl w:val="0"/>
        </w:rPr>
        <w:t xml:space="preserve">resentations and discussions relative to various areas of architectural and environmental design concerns.</w:t>
      </w:r>
      <w:r w:rsidDel="00000000" w:rsidR="00000000" w:rsidRPr="00000000">
        <w:rPr>
          <w:rFonts w:ascii="Times New Roman" w:cs="Times New Roman" w:eastAsia="Times New Roman" w:hAnsi="Times New Roman"/>
          <w:sz w:val="24"/>
          <w:szCs w:val="24"/>
          <w:highlight w:val="white"/>
          <w:rtl w:val="0"/>
        </w:rPr>
        <w:t xml:space="preserve"> In addition, regular tutorials are held to teach students on how to use the whole building energy simulation tool.</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urses.illinois.edu/schedule/2020/spring/ARCH/594" TargetMode="External"/><Relationship Id="rId7" Type="http://schemas.openxmlformats.org/officeDocument/2006/relationships/hyperlink" Target="https://courses.illinois.edu/schedule/2020/spring/ARCH/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